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8FE" w14:textId="77777777" w:rsidR="00C80966" w:rsidRPr="00D475FD" w:rsidRDefault="00C80966" w:rsidP="00C956D8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D475FD">
        <w:rPr>
          <w:noProof/>
        </w:rPr>
        <w:drawing>
          <wp:inline distT="0" distB="0" distL="0" distR="0" wp14:anchorId="79CBED2B" wp14:editId="1F568BF3">
            <wp:extent cx="697270" cy="785812"/>
            <wp:effectExtent l="0" t="0" r="7620" b="0"/>
            <wp:docPr id="1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21" cy="79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A7FFB" w14:textId="77777777" w:rsidR="00C80966" w:rsidRPr="00D475FD" w:rsidRDefault="00C80966" w:rsidP="00C80966">
      <w:pPr>
        <w:jc w:val="center"/>
        <w:rPr>
          <w:rFonts w:ascii="Kunstler Script" w:hAnsi="Kunstler Script"/>
          <w:sz w:val="118"/>
          <w:szCs w:val="118"/>
        </w:rPr>
      </w:pPr>
      <w:r w:rsidRPr="00D475FD">
        <w:rPr>
          <w:rFonts w:ascii="Kunstler Script" w:hAnsi="Kunstler Script"/>
          <w:sz w:val="118"/>
          <w:szCs w:val="118"/>
        </w:rPr>
        <w:t>Ministero della Giustizia</w:t>
      </w:r>
    </w:p>
    <w:p w14:paraId="67B53D8F" w14:textId="0FC1A640" w:rsidR="0000165D" w:rsidRPr="00D475FD" w:rsidRDefault="00C80966" w:rsidP="00C956D8">
      <w:pPr>
        <w:ind w:right="707" w:firstLine="567"/>
        <w:jc w:val="center"/>
        <w:rPr>
          <w:rFonts w:ascii="Kunstler Script" w:hAnsi="Kunstler Script"/>
          <w:sz w:val="55"/>
          <w:szCs w:val="55"/>
        </w:rPr>
      </w:pPr>
      <w:r w:rsidRPr="00D475FD">
        <w:rPr>
          <w:rFonts w:ascii="Kunstler Script" w:hAnsi="Kunstler Script"/>
          <w:sz w:val="55"/>
          <w:szCs w:val="55"/>
        </w:rPr>
        <w:t>Dipartimento per l’innovazione tecnologica della giustizia</w:t>
      </w:r>
    </w:p>
    <w:p w14:paraId="2F078BFD" w14:textId="77777777" w:rsidR="0000165D" w:rsidRPr="00D475FD" w:rsidRDefault="0000165D" w:rsidP="0000165D"/>
    <w:p w14:paraId="4F92381C" w14:textId="77777777" w:rsidR="0000165D" w:rsidRPr="00D475FD" w:rsidRDefault="0000165D" w:rsidP="0000165D"/>
    <w:p w14:paraId="377F63C9" w14:textId="77777777" w:rsidR="0000165D" w:rsidRPr="00D475FD" w:rsidRDefault="0000165D" w:rsidP="0000165D"/>
    <w:p w14:paraId="2D23F927" w14:textId="77777777" w:rsidR="0000165D" w:rsidRPr="00D475FD" w:rsidRDefault="0000165D" w:rsidP="0000165D"/>
    <w:p w14:paraId="581A0C8E" w14:textId="77777777" w:rsidR="0000165D" w:rsidRPr="00D475FD" w:rsidRDefault="0000165D" w:rsidP="0000165D"/>
    <w:p w14:paraId="7A60970C" w14:textId="77777777" w:rsidR="0000165D" w:rsidRPr="00D475FD" w:rsidRDefault="0000165D" w:rsidP="0000165D"/>
    <w:p w14:paraId="668FA40A" w14:textId="77777777" w:rsidR="0000165D" w:rsidRPr="00D475FD" w:rsidRDefault="0000165D" w:rsidP="0000165D">
      <w:pPr>
        <w:rPr>
          <w:color w:val="000000" w:themeColor="text1"/>
          <w:sz w:val="36"/>
          <w:szCs w:val="36"/>
        </w:rPr>
      </w:pPr>
    </w:p>
    <w:p w14:paraId="2F94F710" w14:textId="7BECE796" w:rsidR="0000165D" w:rsidRPr="00D475FD" w:rsidRDefault="0000165D" w:rsidP="0000165D">
      <w:pPr>
        <w:jc w:val="center"/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</w:pPr>
      <w:r w:rsidRPr="00D475FD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R</w:t>
      </w:r>
      <w:r w:rsidR="00DC2431" w:rsidRPr="00D475FD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apporto </w:t>
      </w:r>
      <w:r w:rsidRPr="00D475FD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A</w:t>
      </w:r>
      <w:r w:rsidR="00DC2431" w:rsidRPr="00D475FD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 xml:space="preserve">vanzamento </w:t>
      </w:r>
      <w:r w:rsidRPr="00D475FD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C</w:t>
      </w:r>
      <w:r w:rsidR="00DC2431" w:rsidRPr="00D475FD">
        <w:rPr>
          <w:rFonts w:ascii="Palatino Linotype" w:hAnsi="Palatino Linotype" w:cstheme="minorHAnsi"/>
          <w:b/>
          <w:bCs/>
          <w:color w:val="000000" w:themeColor="text1"/>
          <w:sz w:val="36"/>
          <w:szCs w:val="36"/>
        </w:rPr>
        <w:t>ontrattuale (RAC)</w:t>
      </w:r>
    </w:p>
    <w:p w14:paraId="00D6FC14" w14:textId="77777777" w:rsidR="0000165D" w:rsidRPr="00D475FD" w:rsidRDefault="0000165D" w:rsidP="0000165D">
      <w:pPr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23E9076" w14:textId="0706867B" w:rsidR="00DE4EB7" w:rsidRPr="00D475FD" w:rsidRDefault="00193F92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Progettazione Sviluppo e Reingegnerizzazione dei </w:t>
      </w:r>
      <w:proofErr w:type="spellStart"/>
      <w:r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>sw</w:t>
      </w:r>
      <w:proofErr w:type="spellEnd"/>
      <w:r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 del Ministero della Giustizia (giurisdizione di legittimità, giurisdizione civile di merito e banche dati di giurisprudenza) e manutenzione dei relativi </w:t>
      </w:r>
      <w:proofErr w:type="spellStart"/>
      <w:r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>sw</w:t>
      </w:r>
      <w:proofErr w:type="spellEnd"/>
      <w:r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 e servizi correlati</w:t>
      </w:r>
      <w:r w:rsidR="00A04F5B"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 </w:t>
      </w:r>
      <w:r w:rsidR="004C7E9A"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- </w:t>
      </w:r>
      <w:r w:rsidR="00CB230A"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CIG: </w:t>
      </w:r>
      <w:r w:rsidR="0037161F" w:rsidRPr="00D475FD">
        <w:rPr>
          <w:rFonts w:ascii="Palatino Linotype" w:hAnsi="Palatino Linotype" w:cstheme="minorHAnsi"/>
          <w:color w:val="000000" w:themeColor="text1"/>
          <w:sz w:val="36"/>
          <w:szCs w:val="36"/>
        </w:rPr>
        <w:t>8440564DBF</w:t>
      </w:r>
    </w:p>
    <w:p w14:paraId="5A6C73A9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011C830C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161AA86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12E1DE3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A67296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33FEAE8A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186732B5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49BC8041" w14:textId="77777777" w:rsidR="00DE4EB7" w:rsidRPr="00D475FD" w:rsidRDefault="00DE4EB7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677F76E9" w14:textId="77777777" w:rsidR="00C956D8" w:rsidRPr="00D475FD" w:rsidRDefault="00C956D8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7F2422C5" w14:textId="77777777" w:rsidR="00C956D8" w:rsidRPr="00D475FD" w:rsidRDefault="00C956D8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p w14:paraId="25245926" w14:textId="77777777" w:rsidR="00C956D8" w:rsidRPr="00D475FD" w:rsidRDefault="00C956D8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</w:p>
    <w:sdt>
      <w:sdtPr>
        <w:rPr>
          <w:rFonts w:ascii="Palatino Linotype" w:hAnsi="Palatino Linotype" w:cstheme="minorBidi"/>
          <w:b/>
          <w:bCs/>
        </w:rPr>
        <w:id w:val="30967786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50B3D5F" w14:textId="77777777" w:rsidR="00DE4EB7" w:rsidRPr="00D475FD" w:rsidRDefault="00DE4EB7" w:rsidP="00DE4EB7">
          <w:pPr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</w:pPr>
          <w:r w:rsidRPr="00D475FD">
            <w:rPr>
              <w:rFonts w:ascii="Palatino Linotype" w:eastAsiaTheme="majorEastAsia" w:hAnsi="Palatino Linotype" w:cstheme="minorHAnsi"/>
              <w:b/>
              <w:bCs/>
              <w:sz w:val="32"/>
              <w:szCs w:val="32"/>
            </w:rPr>
            <w:t>Sommario</w:t>
          </w:r>
        </w:p>
        <w:p w14:paraId="4B3E5155" w14:textId="77777777" w:rsidR="00DE4EB7" w:rsidRPr="00D475FD" w:rsidRDefault="00DE4EB7" w:rsidP="00DE4EB7">
          <w:pPr>
            <w:rPr>
              <w:rFonts w:ascii="Palatino Linotype" w:hAnsi="Palatino Linotype" w:cstheme="minorHAnsi"/>
              <w:sz w:val="24"/>
              <w:szCs w:val="24"/>
            </w:rPr>
          </w:pPr>
        </w:p>
        <w:p w14:paraId="11D711BB" w14:textId="5A90F2C1" w:rsidR="00643575" w:rsidRPr="00D475FD" w:rsidRDefault="00DE4EB7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D475FD">
            <w:rPr>
              <w:rFonts w:ascii="Palatino Linotype" w:hAnsi="Palatino Linotype" w:cstheme="minorHAnsi"/>
            </w:rPr>
            <w:fldChar w:fldCharType="begin"/>
          </w:r>
          <w:r w:rsidRPr="00D475FD">
            <w:rPr>
              <w:rFonts w:ascii="Palatino Linotype" w:hAnsi="Palatino Linotype" w:cstheme="minorHAnsi"/>
            </w:rPr>
            <w:instrText xml:space="preserve"> TOC \o "1-3" \h \z \u </w:instrText>
          </w:r>
          <w:r w:rsidRPr="00D475FD">
            <w:rPr>
              <w:rFonts w:ascii="Palatino Linotype" w:hAnsi="Palatino Linotype" w:cstheme="minorHAnsi"/>
            </w:rPr>
            <w:fldChar w:fldCharType="separate"/>
          </w:r>
          <w:hyperlink w:anchor="_Toc193117996" w:history="1">
            <w:r w:rsidR="00643575"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1.</w:t>
            </w:r>
            <w:r w:rsidR="00643575" w:rsidRPr="00D475FD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643575"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Scheda di sintesi dei dati identificativi</w:t>
            </w:r>
            <w:r w:rsidR="00643575" w:rsidRPr="00D475FD">
              <w:rPr>
                <w:noProof/>
                <w:webHidden/>
              </w:rPr>
              <w:tab/>
            </w:r>
            <w:r w:rsidR="00643575" w:rsidRPr="00D475FD">
              <w:rPr>
                <w:noProof/>
                <w:webHidden/>
              </w:rPr>
              <w:fldChar w:fldCharType="begin"/>
            </w:r>
            <w:r w:rsidR="00643575" w:rsidRPr="00D475FD">
              <w:rPr>
                <w:noProof/>
                <w:webHidden/>
              </w:rPr>
              <w:instrText xml:space="preserve"> PAGEREF _Toc193117996 \h </w:instrText>
            </w:r>
            <w:r w:rsidR="00643575" w:rsidRPr="00D475FD">
              <w:rPr>
                <w:noProof/>
                <w:webHidden/>
              </w:rPr>
            </w:r>
            <w:r w:rsidR="00643575" w:rsidRPr="00D475FD">
              <w:rPr>
                <w:noProof/>
                <w:webHidden/>
              </w:rPr>
              <w:fldChar w:fldCharType="separate"/>
            </w:r>
            <w:r w:rsidR="00643575" w:rsidRPr="00D475FD">
              <w:rPr>
                <w:noProof/>
                <w:webHidden/>
              </w:rPr>
              <w:t>3</w:t>
            </w:r>
            <w:r w:rsidR="00643575" w:rsidRPr="00D475FD">
              <w:rPr>
                <w:noProof/>
                <w:webHidden/>
              </w:rPr>
              <w:fldChar w:fldCharType="end"/>
            </w:r>
          </w:hyperlink>
        </w:p>
        <w:p w14:paraId="02CFDDB9" w14:textId="18E4B109" w:rsidR="00643575" w:rsidRPr="00D475FD" w:rsidRDefault="00643575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7997" w:history="1">
            <w:r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2.</w:t>
            </w:r>
            <w:r w:rsidRPr="00D475FD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Executive Summary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_Toc193117997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5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7B79C1D1" w14:textId="4DC929B1" w:rsidR="00643575" w:rsidRPr="00D475FD" w:rsidRDefault="00643575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7998" w:history="1"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2.1</w:t>
            </w:r>
            <w:r w:rsidRPr="00D475F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Descrizione Sommaria dell’iniziativa contrattuale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_Toc193117998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5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090D774D" w14:textId="10D7D534" w:rsidR="00643575" w:rsidRPr="00D475FD" w:rsidRDefault="00643575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7999" w:history="1">
            <w:r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3.</w:t>
            </w:r>
            <w:r w:rsidRPr="00D475FD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Obiettivi Contrattuali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_Toc193117999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5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64A67FA4" w14:textId="41EE7FD8" w:rsidR="00643575" w:rsidRPr="00D475FD" w:rsidRDefault="00643575">
          <w:pPr>
            <w:pStyle w:val="Sommario1"/>
            <w:tabs>
              <w:tab w:val="left" w:pos="440"/>
              <w:tab w:val="right" w:leader="dot" w:pos="935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8000" w:history="1">
            <w:r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4.</w:t>
            </w:r>
            <w:r w:rsidRPr="00D475FD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noProof/>
              </w:rPr>
              <w:t>Esecuzione del contratto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_Toc193118000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8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627B9908" w14:textId="7E852AAB" w:rsidR="00643575" w:rsidRPr="00D475FD" w:rsidRDefault="00643575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8001" w:history="1"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4.1</w:t>
            </w:r>
            <w:r w:rsidRPr="00D475F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Stato di avanzamento - SAL e SAC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_Toc193118001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8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3AAABBAC" w14:textId="6636E185" w:rsidR="00643575" w:rsidRPr="00D475FD" w:rsidRDefault="00643575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8002" w:history="1"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4.2</w:t>
            </w:r>
            <w:r w:rsidRPr="00D475F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Indicatori di monitoraggio e livelli di servizio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_Toc193118002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9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42EE8150" w14:textId="76CD09F1" w:rsidR="00643575" w:rsidRPr="00D475FD" w:rsidRDefault="00643575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8003" w:history="1"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4.3</w:t>
            </w:r>
            <w:r w:rsidRPr="00D475F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Eventuali innovazioni tecnologiche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_Toc193118003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10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52E3AD02" w14:textId="5A353B68" w:rsidR="00643575" w:rsidRPr="00D475FD" w:rsidRDefault="00643575">
          <w:pPr>
            <w:pStyle w:val="Sommario3"/>
            <w:tabs>
              <w:tab w:val="left" w:pos="9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18004" w:history="1"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4.4</w:t>
            </w:r>
            <w:r w:rsidRPr="00D475FD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75FD">
              <w:rPr>
                <w:rStyle w:val="Collegamentoipertestuale"/>
                <w:rFonts w:ascii="Palatino Linotype" w:hAnsi="Palatino Linotype" w:cstheme="minorHAnsi"/>
                <w:b/>
                <w:bCs/>
                <w:noProof/>
              </w:rPr>
              <w:t>Aspetti della eventuale non conformità</w:t>
            </w:r>
            <w:r w:rsidRPr="00D475FD">
              <w:rPr>
                <w:noProof/>
                <w:webHidden/>
              </w:rPr>
              <w:tab/>
            </w:r>
            <w:r w:rsidRPr="00D475FD">
              <w:rPr>
                <w:noProof/>
                <w:webHidden/>
              </w:rPr>
              <w:fldChar w:fldCharType="begin"/>
            </w:r>
            <w:r w:rsidRPr="00D475FD">
              <w:rPr>
                <w:noProof/>
                <w:webHidden/>
              </w:rPr>
              <w:instrText xml:space="preserve"> PAGEREF _Toc193118004 \h </w:instrText>
            </w:r>
            <w:r w:rsidRPr="00D475FD">
              <w:rPr>
                <w:noProof/>
                <w:webHidden/>
              </w:rPr>
            </w:r>
            <w:r w:rsidRPr="00D475FD">
              <w:rPr>
                <w:noProof/>
                <w:webHidden/>
              </w:rPr>
              <w:fldChar w:fldCharType="separate"/>
            </w:r>
            <w:r w:rsidRPr="00D475FD">
              <w:rPr>
                <w:noProof/>
                <w:webHidden/>
              </w:rPr>
              <w:t>11</w:t>
            </w:r>
            <w:r w:rsidRPr="00D475FD">
              <w:rPr>
                <w:noProof/>
                <w:webHidden/>
              </w:rPr>
              <w:fldChar w:fldCharType="end"/>
            </w:r>
          </w:hyperlink>
        </w:p>
        <w:p w14:paraId="5448C721" w14:textId="0371027E" w:rsidR="00DE4EB7" w:rsidRPr="00D475FD" w:rsidRDefault="00DE4EB7" w:rsidP="00DE4EB7">
          <w:pPr>
            <w:rPr>
              <w:rFonts w:ascii="Palatino Linotype" w:hAnsi="Palatino Linotype" w:cstheme="minorHAnsi"/>
              <w:b/>
              <w:bCs/>
              <w:noProof/>
            </w:rPr>
          </w:pPr>
          <w:r w:rsidRPr="00D475FD">
            <w:rPr>
              <w:rFonts w:ascii="Palatino Linotype" w:hAnsi="Palatino Linotype" w:cstheme="minorHAnsi"/>
            </w:rPr>
            <w:fldChar w:fldCharType="end"/>
          </w:r>
        </w:p>
      </w:sdtContent>
    </w:sdt>
    <w:p w14:paraId="070C1808" w14:textId="77777777" w:rsidR="00DE4EB7" w:rsidRPr="00D475FD" w:rsidRDefault="00DE4EB7" w:rsidP="00DE4EB7">
      <w:pPr>
        <w:rPr>
          <w:rFonts w:ascii="Palatino Linotype" w:hAnsi="Palatino Linotype"/>
        </w:rPr>
      </w:pPr>
    </w:p>
    <w:p w14:paraId="7602929E" w14:textId="77777777" w:rsidR="00DE4EB7" w:rsidRPr="00D475FD" w:rsidRDefault="00DE4EB7" w:rsidP="00DE4EB7">
      <w:pPr>
        <w:rPr>
          <w:rFonts w:ascii="Palatino Linotype" w:hAnsi="Palatino Linotype"/>
        </w:rPr>
      </w:pPr>
    </w:p>
    <w:p w14:paraId="5BBF9B94" w14:textId="77777777" w:rsidR="00DE4EB7" w:rsidRPr="00D475FD" w:rsidRDefault="00DE4EB7" w:rsidP="00DE4EB7">
      <w:pPr>
        <w:rPr>
          <w:rFonts w:ascii="Palatino Linotype" w:hAnsi="Palatino Linotype"/>
        </w:rPr>
      </w:pPr>
    </w:p>
    <w:p w14:paraId="791FFC8D" w14:textId="2CC62D16" w:rsidR="0000165D" w:rsidRPr="00D475FD" w:rsidRDefault="0000165D" w:rsidP="00DE4EB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D475FD">
        <w:rPr>
          <w:rFonts w:ascii="Palatino Linotype" w:hAnsi="Palatino Linotype" w:cstheme="minorHAnsi"/>
        </w:rPr>
        <w:br w:type="page"/>
      </w:r>
    </w:p>
    <w:p w14:paraId="12C6DDCE" w14:textId="02DC8A5F" w:rsidR="00AA5D6B" w:rsidRPr="00D475FD" w:rsidRDefault="0000165D" w:rsidP="002E3B11">
      <w:pPr>
        <w:pStyle w:val="Titolo1"/>
        <w:numPr>
          <w:ilvl w:val="0"/>
          <w:numId w:val="1"/>
        </w:numPr>
        <w:ind w:left="432" w:hanging="432"/>
        <w:rPr>
          <w:rFonts w:ascii="Palatino Linotype" w:hAnsi="Palatino Linotype" w:cstheme="minorHAnsi"/>
        </w:rPr>
      </w:pPr>
      <w:bookmarkStart w:id="0" w:name="_Toc193117996"/>
      <w:r w:rsidRPr="00D475FD">
        <w:rPr>
          <w:rFonts w:ascii="Palatino Linotype" w:hAnsi="Palatino Linotype" w:cstheme="minorHAnsi"/>
        </w:rPr>
        <w:lastRenderedPageBreak/>
        <w:t>Scheda di sintesi d</w:t>
      </w:r>
      <w:r w:rsidR="00B51B57" w:rsidRPr="00D475FD">
        <w:rPr>
          <w:rFonts w:ascii="Palatino Linotype" w:hAnsi="Palatino Linotype" w:cstheme="minorHAnsi"/>
        </w:rPr>
        <w:t>ei dati identificativi</w:t>
      </w:r>
      <w:bookmarkEnd w:id="0"/>
      <w:r w:rsidR="0066382A" w:rsidRPr="00D475FD">
        <w:rPr>
          <w:rFonts w:ascii="Palatino Linotype" w:hAnsi="Palatino Linotype" w:cstheme="minorHAnsi"/>
        </w:rPr>
        <w:br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B51B57" w:rsidRPr="00D475FD" w14:paraId="6E5B7CA5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7C126F" w14:textId="77777777" w:rsidR="00B51B57" w:rsidRPr="00D475FD" w:rsidRDefault="00B51B57" w:rsidP="00FA18FC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Denominazione</w:t>
            </w:r>
            <w:r w:rsidRPr="00D475FD">
              <w:rPr>
                <w:rFonts w:ascii="Palatino Linotype" w:hAnsi="Palatino Linotype" w:cstheme="minorHAnsi"/>
                <w:spacing w:val="-8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0CDBFBE7" w14:textId="453DAC8B" w:rsidR="00B51B57" w:rsidRPr="00D475FD" w:rsidRDefault="00FC7798" w:rsidP="00FC779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 w:cs="Segoe UI"/>
                <w:sz w:val="18"/>
                <w:szCs w:val="18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="Calibri"/>
                <w:sz w:val="22"/>
                <w:szCs w:val="22"/>
                <w:lang w:val="it-IT"/>
              </w:rPr>
              <w:t xml:space="preserve">Ministero della Giustizia - </w:t>
            </w:r>
            <w:r w:rsidR="00FA0B0F" w:rsidRPr="00D475FD">
              <w:rPr>
                <w:rStyle w:val="normaltextrun"/>
                <w:rFonts w:ascii="Palatino Linotype" w:hAnsi="Palatino Linotype" w:cs="Calibri"/>
                <w:sz w:val="22"/>
                <w:szCs w:val="22"/>
                <w:lang w:val="it-IT"/>
              </w:rPr>
              <w:t>Dipartimento per l’innovazione tecnologica della giustizia</w:t>
            </w:r>
          </w:p>
        </w:tc>
      </w:tr>
      <w:tr w:rsidR="00B51B57" w:rsidRPr="00D475FD" w14:paraId="4502D465" w14:textId="77777777" w:rsidTr="2E028C23">
        <w:trPr>
          <w:trHeight w:val="502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E3E7D7" w14:textId="77777777" w:rsidR="00B51B57" w:rsidRPr="00D475FD" w:rsidRDefault="00B51B57" w:rsidP="00FA18FC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Denominazione</w:t>
            </w:r>
            <w:r w:rsidRPr="00D475FD">
              <w:rPr>
                <w:rFonts w:ascii="Palatino Linotype" w:hAnsi="Palatino Linotype" w:cstheme="minorHAnsi"/>
                <w:spacing w:val="-5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del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contratto</w:t>
            </w:r>
          </w:p>
        </w:tc>
        <w:tc>
          <w:tcPr>
            <w:tcW w:w="5145" w:type="dxa"/>
          </w:tcPr>
          <w:p w14:paraId="04978CD7" w14:textId="0D24661E" w:rsidR="00B51B57" w:rsidRPr="00D475FD" w:rsidRDefault="00550359" w:rsidP="009D4BA4">
            <w:pPr>
              <w:pStyle w:val="TableParagraph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 xml:space="preserve">Progettazione Sviluppo e Reingegnerizzazione dei </w:t>
            </w:r>
            <w:proofErr w:type="spellStart"/>
            <w:r w:rsidRPr="00D475FD">
              <w:rPr>
                <w:rFonts w:ascii="Palatino Linotype" w:hAnsi="Palatino Linotype" w:cstheme="minorHAnsi"/>
                <w:lang w:val="it-IT"/>
              </w:rPr>
              <w:t>sw</w:t>
            </w:r>
            <w:proofErr w:type="spellEnd"/>
            <w:r w:rsidRPr="00D475FD">
              <w:rPr>
                <w:rFonts w:ascii="Palatino Linotype" w:hAnsi="Palatino Linotype" w:cstheme="minorHAnsi"/>
                <w:lang w:val="it-IT"/>
              </w:rPr>
              <w:t xml:space="preserve"> del Ministero della Giustizia (giurisdizione di legittimità, giurisdizione civile di merito e banche dati di giurisprudenza) e manutenzione dei relativi </w:t>
            </w:r>
            <w:proofErr w:type="spellStart"/>
            <w:r w:rsidRPr="00D475FD">
              <w:rPr>
                <w:rFonts w:ascii="Palatino Linotype" w:hAnsi="Palatino Linotype" w:cstheme="minorHAnsi"/>
                <w:lang w:val="it-IT"/>
              </w:rPr>
              <w:t>sw</w:t>
            </w:r>
            <w:proofErr w:type="spellEnd"/>
            <w:r w:rsidRPr="00D475FD">
              <w:rPr>
                <w:rFonts w:ascii="Palatino Linotype" w:hAnsi="Palatino Linotype" w:cstheme="minorHAnsi"/>
                <w:lang w:val="it-IT"/>
              </w:rPr>
              <w:t xml:space="preserve"> e servizi correlati</w:t>
            </w:r>
          </w:p>
        </w:tc>
      </w:tr>
      <w:tr w:rsidR="00B51B57" w:rsidRPr="00D475FD" w14:paraId="38760E71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C8FFD2B" w14:textId="06E1C4B9" w:rsidR="00B51B57" w:rsidRPr="00D475FD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CIG - Codice Identificativo di Gara</w:t>
            </w:r>
          </w:p>
        </w:tc>
        <w:tc>
          <w:tcPr>
            <w:tcW w:w="5145" w:type="dxa"/>
            <w:vAlign w:val="center"/>
          </w:tcPr>
          <w:p w14:paraId="0AF01C30" w14:textId="48D0FA5D" w:rsidR="00B51B57" w:rsidRPr="00D475FD" w:rsidRDefault="00E07CDC" w:rsidP="009D4BA4">
            <w:pPr>
              <w:pStyle w:val="TableParagraph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8440564DBF</w:t>
            </w:r>
          </w:p>
        </w:tc>
      </w:tr>
      <w:tr w:rsidR="003162F0" w:rsidRPr="00D475FD" w14:paraId="6A8E9D7F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0A25030" w14:textId="10B101C3" w:rsidR="003162F0" w:rsidRPr="00D475FD" w:rsidRDefault="00774E77" w:rsidP="003162F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Codice e oggetto e data del parere di riferimento AGID (se presente</w:t>
            </w:r>
            <w:r w:rsidR="00175989" w:rsidRPr="00D475FD">
              <w:rPr>
                <w:rFonts w:ascii="Palatino Linotype" w:hAnsi="Palatino Linotype" w:cstheme="minorHAnsi"/>
                <w:lang w:val="it-IT"/>
              </w:rPr>
              <w:t>)</w:t>
            </w:r>
          </w:p>
        </w:tc>
        <w:tc>
          <w:tcPr>
            <w:tcW w:w="5145" w:type="dxa"/>
            <w:vAlign w:val="center"/>
          </w:tcPr>
          <w:p w14:paraId="6DEAFA3B" w14:textId="3D630478" w:rsidR="003162F0" w:rsidRPr="00D475FD" w:rsidRDefault="00B97DF6" w:rsidP="00B97DF6">
            <w:pPr>
              <w:pStyle w:val="TableParagraph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-</w:t>
            </w:r>
          </w:p>
        </w:tc>
      </w:tr>
      <w:tr w:rsidR="00F7410A" w:rsidRPr="00D475FD" w14:paraId="27FE6AB9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9E6B3F7" w14:textId="26982C48" w:rsidR="00F7410A" w:rsidRPr="00D475FD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Importo netto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48678C82" w14:textId="07B364AD" w:rsidR="002E20AC" w:rsidRPr="00D475FD" w:rsidRDefault="21AC085B" w:rsidP="325F8F7E">
            <w:pPr>
              <w:pStyle w:val="TableParagraph"/>
              <w:jc w:val="both"/>
              <w:rPr>
                <w:rFonts w:ascii="Palatino Linotype" w:hAnsi="Palatino Linotype" w:cstheme="minorBidi"/>
                <w:lang w:val="it-IT"/>
              </w:rPr>
            </w:pPr>
            <w:r w:rsidRPr="00D475FD">
              <w:rPr>
                <w:rFonts w:ascii="Palatino Linotype" w:hAnsi="Palatino Linotype" w:cstheme="minorBidi"/>
                <w:lang w:val="it-IT"/>
              </w:rPr>
              <w:t>Previs</w:t>
            </w:r>
            <w:r w:rsidR="66E6273E" w:rsidRPr="00D475FD">
              <w:rPr>
                <w:rFonts w:ascii="Palatino Linotype" w:hAnsi="Palatino Linotype" w:cstheme="minorBidi"/>
                <w:lang w:val="it-IT"/>
              </w:rPr>
              <w:t>t</w:t>
            </w:r>
            <w:r w:rsidRPr="00D475FD">
              <w:rPr>
                <w:rFonts w:ascii="Palatino Linotype" w:hAnsi="Palatino Linotype" w:cstheme="minorBidi"/>
                <w:lang w:val="it-IT"/>
              </w:rPr>
              <w:t>o originariamente: 2</w:t>
            </w:r>
            <w:r w:rsidR="25BA8DA5" w:rsidRPr="00D475FD">
              <w:rPr>
                <w:rFonts w:ascii="Palatino Linotype" w:hAnsi="Palatino Linotype" w:cstheme="minorBidi"/>
                <w:lang w:val="it-IT"/>
              </w:rPr>
              <w:t>7</w:t>
            </w:r>
            <w:r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23DAB8FE" w:rsidRPr="00D475FD">
              <w:rPr>
                <w:rFonts w:ascii="Palatino Linotype" w:hAnsi="Palatino Linotype" w:cstheme="minorBidi"/>
                <w:lang w:val="it-IT"/>
              </w:rPr>
              <w:t>512</w:t>
            </w:r>
            <w:r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33DF1F3E" w:rsidRPr="00D475FD">
              <w:rPr>
                <w:rFonts w:ascii="Palatino Linotype" w:hAnsi="Palatino Linotype" w:cstheme="minorBidi"/>
                <w:lang w:val="it-IT"/>
              </w:rPr>
              <w:t>70</w:t>
            </w:r>
            <w:r w:rsidRPr="00D475FD">
              <w:rPr>
                <w:rFonts w:ascii="Palatino Linotype" w:hAnsi="Palatino Linotype" w:cstheme="minorBidi"/>
                <w:lang w:val="it-IT"/>
              </w:rPr>
              <w:t>0,00 € (IVA esclusa)</w:t>
            </w:r>
          </w:p>
          <w:p w14:paraId="28FB6E72" w14:textId="6B3DFA74" w:rsidR="002E20AC" w:rsidRPr="00D475FD" w:rsidRDefault="21AC085B" w:rsidP="4C15FD13">
            <w:pPr>
              <w:pStyle w:val="TableParagraph"/>
              <w:jc w:val="both"/>
              <w:rPr>
                <w:rFonts w:ascii="Palatino Linotype" w:hAnsi="Palatino Linotype" w:cstheme="minorBidi"/>
                <w:lang w:val="it-IT"/>
              </w:rPr>
            </w:pPr>
            <w:r w:rsidRPr="00D475FD">
              <w:rPr>
                <w:rFonts w:ascii="Palatino Linotype" w:hAnsi="Palatino Linotype" w:cstheme="minorBidi"/>
                <w:lang w:val="it-IT"/>
              </w:rPr>
              <w:t xml:space="preserve">Variazione in diminuzione: </w:t>
            </w:r>
            <w:r w:rsidR="20879F06" w:rsidRPr="00D475FD">
              <w:rPr>
                <w:rFonts w:ascii="Palatino Linotype" w:hAnsi="Palatino Linotype" w:cstheme="minorBidi"/>
                <w:lang w:val="it-IT"/>
              </w:rPr>
              <w:t>5</w:t>
            </w:r>
            <w:r w:rsidR="59B6D3DC"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685B8B69" w:rsidRPr="00D475FD">
              <w:rPr>
                <w:rFonts w:ascii="Palatino Linotype" w:hAnsi="Palatino Linotype" w:cstheme="minorBidi"/>
                <w:lang w:val="it-IT"/>
              </w:rPr>
              <w:t>365</w:t>
            </w:r>
            <w:r w:rsidR="59B6D3DC"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5FCDFC5D" w:rsidRPr="00D475FD">
              <w:rPr>
                <w:rFonts w:ascii="Palatino Linotype" w:hAnsi="Palatino Linotype" w:cstheme="minorBidi"/>
                <w:lang w:val="it-IT"/>
              </w:rPr>
              <w:t>550</w:t>
            </w:r>
            <w:r w:rsidR="59B6D3DC" w:rsidRPr="00D475FD">
              <w:rPr>
                <w:rFonts w:ascii="Palatino Linotype" w:hAnsi="Palatino Linotype" w:cstheme="minorBidi"/>
                <w:lang w:val="it-IT"/>
              </w:rPr>
              <w:t>,00 € (IVA esclusa)</w:t>
            </w:r>
          </w:p>
          <w:p w14:paraId="1292E240" w14:textId="14A32C2F" w:rsidR="002E20AC" w:rsidRPr="00D475FD" w:rsidRDefault="432FD227" w:rsidP="325F8F7E">
            <w:pPr>
              <w:pStyle w:val="TableParagraph"/>
              <w:jc w:val="both"/>
              <w:rPr>
                <w:rFonts w:ascii="Palatino Linotype" w:hAnsi="Palatino Linotype" w:cstheme="minorBidi"/>
                <w:lang w:val="it-IT"/>
              </w:rPr>
            </w:pPr>
            <w:r w:rsidRPr="00D475FD">
              <w:rPr>
                <w:rFonts w:ascii="Palatino Linotype" w:hAnsi="Palatino Linotype" w:cstheme="minorBidi"/>
                <w:lang w:val="it-IT"/>
              </w:rPr>
              <w:t>Importo finale: 22.147.150,00 € (IVA esclusa)</w:t>
            </w:r>
          </w:p>
        </w:tc>
      </w:tr>
      <w:tr w:rsidR="00F7410A" w:rsidRPr="00D475FD" w14:paraId="3438323E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0EDBF99" w14:textId="6AE6F9DD" w:rsidR="00F7410A" w:rsidRPr="00D475FD" w:rsidRDefault="00F7410A" w:rsidP="00F7410A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Importo lordo (previsto originariamente ed eventuali variazioni successive)</w:t>
            </w:r>
          </w:p>
        </w:tc>
        <w:tc>
          <w:tcPr>
            <w:tcW w:w="5145" w:type="dxa"/>
            <w:vAlign w:val="center"/>
          </w:tcPr>
          <w:p w14:paraId="42A883BF" w14:textId="1C883893" w:rsidR="00F7410A" w:rsidRPr="00D475FD" w:rsidRDefault="4630E1DC" w:rsidP="325F8F7E">
            <w:pPr>
              <w:pStyle w:val="TableParagraph"/>
              <w:jc w:val="both"/>
              <w:rPr>
                <w:rFonts w:ascii="Palatino Linotype" w:hAnsi="Palatino Linotype" w:cstheme="minorBidi"/>
                <w:lang w:val="it-IT"/>
              </w:rPr>
            </w:pPr>
            <w:r w:rsidRPr="00D475FD">
              <w:rPr>
                <w:rFonts w:ascii="Palatino Linotype" w:hAnsi="Palatino Linotype" w:cstheme="minorBidi"/>
                <w:lang w:val="it-IT"/>
              </w:rPr>
              <w:t>Previs</w:t>
            </w:r>
            <w:r w:rsidR="39DD6400" w:rsidRPr="00D475FD">
              <w:rPr>
                <w:rFonts w:ascii="Palatino Linotype" w:hAnsi="Palatino Linotype" w:cstheme="minorBidi"/>
                <w:lang w:val="it-IT"/>
              </w:rPr>
              <w:t>t</w:t>
            </w:r>
            <w:r w:rsidRPr="00D475FD">
              <w:rPr>
                <w:rFonts w:ascii="Palatino Linotype" w:hAnsi="Palatino Linotype" w:cstheme="minorBidi"/>
                <w:lang w:val="it-IT"/>
              </w:rPr>
              <w:t xml:space="preserve">o originariamente: </w:t>
            </w:r>
            <w:r w:rsidR="6691203A" w:rsidRPr="00D475FD">
              <w:rPr>
                <w:rFonts w:ascii="Palatino Linotype" w:hAnsi="Palatino Linotype" w:cstheme="minorBidi"/>
                <w:lang w:val="it-IT"/>
              </w:rPr>
              <w:t>33</w:t>
            </w:r>
            <w:r w:rsidR="4CCC6C92"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709CA953" w:rsidRPr="00D475FD">
              <w:rPr>
                <w:rFonts w:ascii="Palatino Linotype" w:hAnsi="Palatino Linotype" w:cstheme="minorBidi"/>
                <w:lang w:val="it-IT"/>
              </w:rPr>
              <w:t>565</w:t>
            </w:r>
            <w:r w:rsidR="4CCC6C92"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1DA56C92" w:rsidRPr="00D475FD">
              <w:rPr>
                <w:rFonts w:ascii="Palatino Linotype" w:hAnsi="Palatino Linotype" w:cstheme="minorBidi"/>
                <w:lang w:val="it-IT"/>
              </w:rPr>
              <w:t>494</w:t>
            </w:r>
            <w:r w:rsidR="4CCC6C92" w:rsidRPr="00D475FD">
              <w:rPr>
                <w:rFonts w:ascii="Palatino Linotype" w:hAnsi="Palatino Linotype" w:cstheme="minorBidi"/>
                <w:lang w:val="it-IT"/>
              </w:rPr>
              <w:t xml:space="preserve">,00 </w:t>
            </w:r>
            <w:r w:rsidR="00BF5B06" w:rsidRPr="00D475FD">
              <w:rPr>
                <w:rFonts w:ascii="Palatino Linotype" w:hAnsi="Palatino Linotype" w:cstheme="minorBidi"/>
                <w:lang w:val="it-IT"/>
              </w:rPr>
              <w:t xml:space="preserve">€ </w:t>
            </w:r>
            <w:r w:rsidR="005832B3" w:rsidRPr="00D475FD">
              <w:rPr>
                <w:rFonts w:ascii="Palatino Linotype" w:hAnsi="Palatino Linotype" w:cstheme="minorBidi"/>
                <w:lang w:val="it-IT"/>
              </w:rPr>
              <w:t xml:space="preserve">(IVA </w:t>
            </w:r>
            <w:r w:rsidR="00B07142" w:rsidRPr="00D475FD">
              <w:rPr>
                <w:rFonts w:ascii="Palatino Linotype" w:hAnsi="Palatino Linotype" w:cstheme="minorBidi"/>
                <w:lang w:val="it-IT"/>
              </w:rPr>
              <w:t>inclusa</w:t>
            </w:r>
            <w:r w:rsidR="005832B3" w:rsidRPr="00D475FD">
              <w:rPr>
                <w:rFonts w:ascii="Palatino Linotype" w:hAnsi="Palatino Linotype" w:cstheme="minorBidi"/>
                <w:lang w:val="it-IT"/>
              </w:rPr>
              <w:t>)</w:t>
            </w:r>
          </w:p>
          <w:p w14:paraId="2B8BC158" w14:textId="2425F6B0" w:rsidR="00F7410A" w:rsidRPr="00D475FD" w:rsidRDefault="7BDA1CCB" w:rsidP="55C49A0E">
            <w:pPr>
              <w:pStyle w:val="TableParagraph"/>
              <w:jc w:val="both"/>
              <w:rPr>
                <w:rFonts w:ascii="Palatino Linotype" w:hAnsi="Palatino Linotype" w:cstheme="minorBidi"/>
                <w:lang w:val="it-IT"/>
              </w:rPr>
            </w:pPr>
            <w:r w:rsidRPr="00D475FD">
              <w:rPr>
                <w:rFonts w:ascii="Palatino Linotype" w:hAnsi="Palatino Linotype" w:cstheme="minorBidi"/>
                <w:lang w:val="it-IT"/>
              </w:rPr>
              <w:t>Variazione</w:t>
            </w:r>
            <w:r w:rsidR="0D139366" w:rsidRPr="00D475FD">
              <w:rPr>
                <w:rFonts w:ascii="Palatino Linotype" w:hAnsi="Palatino Linotype" w:cstheme="minorBidi"/>
                <w:lang w:val="it-IT"/>
              </w:rPr>
              <w:t xml:space="preserve"> in diminuzione:</w:t>
            </w:r>
            <w:r w:rsidR="2C48ED43" w:rsidRPr="00D475FD">
              <w:rPr>
                <w:rFonts w:ascii="Palatino Linotype" w:hAnsi="Palatino Linotype" w:cstheme="minorBidi"/>
                <w:lang w:val="it-IT"/>
              </w:rPr>
              <w:t xml:space="preserve"> </w:t>
            </w:r>
            <w:r w:rsidR="0B70685B" w:rsidRPr="00D475FD">
              <w:rPr>
                <w:rFonts w:ascii="Palatino Linotype" w:hAnsi="Palatino Linotype" w:cstheme="minorBidi"/>
                <w:lang w:val="it-IT"/>
              </w:rPr>
              <w:t>6</w:t>
            </w:r>
            <w:r w:rsidR="2C48ED43"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0A2656F5" w:rsidRPr="00D475FD">
              <w:rPr>
                <w:rFonts w:ascii="Palatino Linotype" w:hAnsi="Palatino Linotype" w:cstheme="minorBidi"/>
                <w:lang w:val="it-IT"/>
              </w:rPr>
              <w:t>5</w:t>
            </w:r>
            <w:r w:rsidR="2C48ED43" w:rsidRPr="00D475FD">
              <w:rPr>
                <w:rFonts w:ascii="Palatino Linotype" w:hAnsi="Palatino Linotype" w:cstheme="minorBidi"/>
                <w:lang w:val="it-IT"/>
              </w:rPr>
              <w:t>4</w:t>
            </w:r>
            <w:r w:rsidR="0A2656F5" w:rsidRPr="00D475FD">
              <w:rPr>
                <w:rFonts w:ascii="Palatino Linotype" w:hAnsi="Palatino Linotype" w:cstheme="minorBidi"/>
                <w:lang w:val="it-IT"/>
              </w:rPr>
              <w:t>5</w:t>
            </w:r>
            <w:r w:rsidR="2C48ED43" w:rsidRPr="00D475FD">
              <w:rPr>
                <w:rFonts w:ascii="Palatino Linotype" w:hAnsi="Palatino Linotype" w:cstheme="minorBidi"/>
                <w:lang w:val="it-IT"/>
              </w:rPr>
              <w:t>.</w:t>
            </w:r>
            <w:r w:rsidR="30493973" w:rsidRPr="00D475FD">
              <w:rPr>
                <w:rFonts w:ascii="Palatino Linotype" w:hAnsi="Palatino Linotype" w:cstheme="minorBidi"/>
                <w:lang w:val="it-IT"/>
              </w:rPr>
              <w:t>971</w:t>
            </w:r>
            <w:r w:rsidR="2C48ED43" w:rsidRPr="00D475FD">
              <w:rPr>
                <w:rFonts w:ascii="Palatino Linotype" w:hAnsi="Palatino Linotype" w:cstheme="minorBidi"/>
                <w:lang w:val="it-IT"/>
              </w:rPr>
              <w:t>,00 € (IVA inclusa)</w:t>
            </w:r>
          </w:p>
          <w:p w14:paraId="2BDC0F00" w14:textId="1446170D" w:rsidR="00F7410A" w:rsidRPr="00D475FD" w:rsidRDefault="6F2635BB" w:rsidP="325F8F7E">
            <w:pPr>
              <w:pStyle w:val="TableParagraph"/>
              <w:jc w:val="both"/>
              <w:rPr>
                <w:rFonts w:ascii="Palatino Linotype" w:hAnsi="Palatino Linotype" w:cstheme="minorBidi"/>
                <w:lang w:val="it-IT"/>
              </w:rPr>
            </w:pPr>
            <w:r w:rsidRPr="00D475FD">
              <w:rPr>
                <w:rFonts w:ascii="Palatino Linotype" w:hAnsi="Palatino Linotype" w:cstheme="minorBidi"/>
                <w:lang w:val="it-IT"/>
              </w:rPr>
              <w:t xml:space="preserve">Importo finale: </w:t>
            </w:r>
            <w:r w:rsidR="693C4B04" w:rsidRPr="00D475FD">
              <w:rPr>
                <w:rFonts w:ascii="Palatino Linotype" w:hAnsi="Palatino Linotype" w:cstheme="minorBidi"/>
                <w:lang w:val="it-IT"/>
              </w:rPr>
              <w:t>27.019.523,00 € (IVA inclusa)</w:t>
            </w:r>
          </w:p>
        </w:tc>
      </w:tr>
      <w:tr w:rsidR="00B51B57" w:rsidRPr="00D475FD" w14:paraId="241CFDBD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21EA1EC" w14:textId="2E74140A" w:rsidR="00B51B57" w:rsidRPr="00D475FD" w:rsidRDefault="00B51B57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Denominazione</w:t>
            </w:r>
            <w:r w:rsidRPr="00D475FD">
              <w:rPr>
                <w:rFonts w:ascii="Palatino Linotype" w:hAnsi="Palatino Linotype" w:cstheme="minorHAnsi"/>
                <w:spacing w:val="-5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del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C368F1D" w14:textId="6C526ABE" w:rsidR="00B51B57" w:rsidRPr="00D475FD" w:rsidRDefault="001E126F" w:rsidP="009D4BA4">
            <w:pPr>
              <w:pStyle w:val="TableParagraph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 xml:space="preserve">RTI Almaviva s.p.a. - Consorzio </w:t>
            </w:r>
            <w:proofErr w:type="spellStart"/>
            <w:r w:rsidRPr="00D475FD">
              <w:rPr>
                <w:rFonts w:ascii="Palatino Linotype" w:hAnsi="Palatino Linotype" w:cstheme="minorHAnsi"/>
                <w:lang w:val="it-IT"/>
              </w:rPr>
              <w:t>Reply</w:t>
            </w:r>
            <w:proofErr w:type="spellEnd"/>
            <w:r w:rsidRPr="00D475FD">
              <w:rPr>
                <w:rFonts w:ascii="Palatino Linotype" w:hAnsi="Palatino Linotype" w:cstheme="minorHAnsi"/>
                <w:lang w:val="it-IT"/>
              </w:rPr>
              <w:t xml:space="preserve"> Public Sector - Business Integration Partners s.p.a.</w:t>
            </w:r>
          </w:p>
        </w:tc>
      </w:tr>
      <w:tr w:rsidR="00BA2C61" w:rsidRPr="00D475FD" w14:paraId="2839420A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5509D5C" w14:textId="77777777" w:rsidR="00BA2C61" w:rsidRPr="00D475FD" w:rsidRDefault="00BA2C61" w:rsidP="00BA2C61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Eventuali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altri</w:t>
            </w:r>
            <w:r w:rsidRPr="00D475FD">
              <w:rPr>
                <w:rFonts w:ascii="Palatino Linotype" w:hAnsi="Palatino Linotype" w:cstheme="minorHAnsi"/>
                <w:spacing w:val="-5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contratti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collegati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(quinto</w:t>
            </w:r>
          </w:p>
          <w:p w14:paraId="354453CE" w14:textId="50B1999A" w:rsidR="00BA2C61" w:rsidRPr="00D475FD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d’obbligo,</w:t>
            </w:r>
            <w:r w:rsidRPr="00D475FD">
              <w:rPr>
                <w:rFonts w:ascii="Palatino Linotype" w:hAnsi="Palatino Linotype" w:cstheme="minorHAnsi"/>
                <w:spacing w:val="-6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atti</w:t>
            </w:r>
            <w:r w:rsidRPr="00D475FD">
              <w:rPr>
                <w:rFonts w:ascii="Palatino Linotype" w:hAnsi="Palatino Linotype" w:cstheme="minorHAnsi"/>
                <w:spacing w:val="-6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194FDF61" w14:textId="1A16E8C9" w:rsidR="00BA2C61" w:rsidRPr="00D475FD" w:rsidRDefault="001E126F" w:rsidP="00BA2C61">
            <w:pPr>
              <w:pStyle w:val="TableParagraph"/>
              <w:jc w:val="bot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-</w:t>
            </w:r>
          </w:p>
        </w:tc>
      </w:tr>
      <w:tr w:rsidR="00BA2C61" w:rsidRPr="00D475FD" w14:paraId="2EEA6F86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D1F6B97" w14:textId="77777777" w:rsidR="00BA2C61" w:rsidRPr="00D475FD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RUP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–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Responsabile</w:t>
            </w:r>
            <w:r w:rsidRPr="00D475FD">
              <w:rPr>
                <w:rFonts w:ascii="Palatino Linotype" w:hAnsi="Palatino Linotype" w:cstheme="minorHAnsi"/>
                <w:spacing w:val="-5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Unico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del</w:t>
            </w:r>
          </w:p>
          <w:p w14:paraId="57252876" w14:textId="396F6F33" w:rsidR="00BA2C61" w:rsidRPr="00D475FD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78E088A" w14:textId="2BEB9D11" w:rsidR="00BA2C61" w:rsidRPr="00D475FD" w:rsidRDefault="008A13BE" w:rsidP="00BA2C61">
            <w:pPr>
              <w:pStyle w:val="TableParagraph"/>
              <w:jc w:val="bot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 xml:space="preserve">Angelo </w:t>
            </w:r>
            <w:r w:rsidR="001E126F" w:rsidRPr="00D475FD">
              <w:rPr>
                <w:rFonts w:ascii="Palatino Linotype" w:hAnsi="Palatino Linotype" w:cstheme="minorHAnsi"/>
                <w:lang w:val="it-IT"/>
              </w:rPr>
              <w:t>Cucinotta</w:t>
            </w:r>
          </w:p>
        </w:tc>
      </w:tr>
      <w:tr w:rsidR="00BA2C61" w:rsidRPr="00D475FD" w14:paraId="06BF52FB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AAD1252" w14:textId="2A3ED9FF" w:rsidR="00BA2C61" w:rsidRPr="00D475FD" w:rsidRDefault="00BA2C61" w:rsidP="00BA2C61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DEC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–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Direttore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6CA4BBA3" w14:textId="446EA34B" w:rsidR="00BA2C61" w:rsidRPr="00D475FD" w:rsidRDefault="00AC4815" w:rsidP="00BA2C61">
            <w:pPr>
              <w:pStyle w:val="TableParagraph"/>
              <w:jc w:val="bot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 xml:space="preserve">Tindara </w:t>
            </w:r>
            <w:r w:rsidR="001E126F"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Andò</w:t>
            </w:r>
          </w:p>
        </w:tc>
      </w:tr>
      <w:tr w:rsidR="00B51B57" w:rsidRPr="00D475FD" w14:paraId="0EBE05E0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3BCDEC7" w14:textId="2465A961" w:rsidR="00B51B57" w:rsidRPr="00D475FD" w:rsidRDefault="00170441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N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>umero progressivo del rapporto</w:t>
            </w:r>
          </w:p>
        </w:tc>
        <w:tc>
          <w:tcPr>
            <w:tcW w:w="5145" w:type="dxa"/>
            <w:vAlign w:val="center"/>
          </w:tcPr>
          <w:p w14:paraId="3FBB47CB" w14:textId="28E90F86" w:rsidR="00B51B57" w:rsidRPr="00D475FD" w:rsidRDefault="00B51B57" w:rsidP="2E028C23">
            <w:pPr>
              <w:pStyle w:val="TableParagraph"/>
              <w:rPr>
                <w:rStyle w:val="normaltextrun"/>
                <w:rFonts w:ascii="Palatino Linotype" w:hAnsi="Palatino Linotype" w:cstheme="minorBidi"/>
                <w:color w:val="000000"/>
                <w:highlight w:val="yellow"/>
                <w:shd w:val="clear" w:color="auto" w:fill="FFFFFF"/>
                <w:lang w:val="it-IT"/>
              </w:rPr>
            </w:pPr>
          </w:p>
        </w:tc>
      </w:tr>
      <w:tr w:rsidR="00B51B57" w:rsidRPr="00D475FD" w14:paraId="0256F833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78D9F188" w14:textId="386BF111" w:rsidR="00B51B57" w:rsidRPr="00D475FD" w:rsidRDefault="00170441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N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>umero progressivo della versione con evidenza delle variazioni intervenute (eventuale, in caso di riemissione)</w:t>
            </w:r>
          </w:p>
        </w:tc>
        <w:tc>
          <w:tcPr>
            <w:tcW w:w="5145" w:type="dxa"/>
            <w:vAlign w:val="center"/>
          </w:tcPr>
          <w:p w14:paraId="5C13E577" w14:textId="524C63CD" w:rsidR="00B51B57" w:rsidRPr="00D475FD" w:rsidRDefault="00774E77" w:rsidP="00B51B57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-</w:t>
            </w:r>
          </w:p>
        </w:tc>
      </w:tr>
      <w:tr w:rsidR="00B51B57" w:rsidRPr="00D475FD" w14:paraId="6A0D8383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5801F285" w14:textId="265385D2" w:rsidR="00B51B57" w:rsidRPr="00D475FD" w:rsidRDefault="00170441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P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 xml:space="preserve">eriodo di riferimento esaminato </w:t>
            </w:r>
          </w:p>
        </w:tc>
        <w:tc>
          <w:tcPr>
            <w:tcW w:w="5145" w:type="dxa"/>
            <w:vAlign w:val="center"/>
          </w:tcPr>
          <w:p w14:paraId="5DC1ACC2" w14:textId="11E0BEAF" w:rsidR="00B51B57" w:rsidRPr="00D475FD" w:rsidRDefault="00BE45C9" w:rsidP="00B51B57">
            <w:pPr>
              <w:pStyle w:val="TableParagraph"/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</w:pPr>
            <w:r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>A</w:t>
            </w:r>
            <w:r w:rsidR="008A2BCE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>prile</w:t>
            </w:r>
            <w:r w:rsidR="00EF76DD" w:rsidRPr="00D475FD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 xml:space="preserve"> 202</w:t>
            </w:r>
            <w:r w:rsidR="00C956D8" w:rsidRPr="00D475FD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>5</w:t>
            </w:r>
            <w:r w:rsidR="00EF41F2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 xml:space="preserve"> – </w:t>
            </w:r>
            <w:proofErr w:type="gramStart"/>
            <w:r w:rsidR="00EF41F2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>Agosto</w:t>
            </w:r>
            <w:proofErr w:type="gramEnd"/>
            <w:r w:rsidR="00EF41F2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 xml:space="preserve"> 2025</w:t>
            </w:r>
          </w:p>
        </w:tc>
      </w:tr>
      <w:tr w:rsidR="00B51B57" w:rsidRPr="00D475FD" w14:paraId="0FA611E2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EB02CFA" w14:textId="0C7D9369" w:rsidR="00B51B57" w:rsidRPr="00D475FD" w:rsidRDefault="00E04EF8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lastRenderedPageBreak/>
              <w:t>I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>l Responsabile del monitoraggio dell’Amministrazione</w:t>
            </w:r>
          </w:p>
        </w:tc>
        <w:tc>
          <w:tcPr>
            <w:tcW w:w="5145" w:type="dxa"/>
            <w:vAlign w:val="center"/>
          </w:tcPr>
          <w:p w14:paraId="07BA42EC" w14:textId="46F419E7" w:rsidR="00B51B57" w:rsidRPr="00D475FD" w:rsidRDefault="00505EC4" w:rsidP="00B51B57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Antonella Ciriello</w:t>
            </w:r>
          </w:p>
        </w:tc>
      </w:tr>
      <w:tr w:rsidR="00B51B57" w:rsidRPr="00D475FD" w14:paraId="56D064E7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37AB8AD1" w14:textId="5F03D892" w:rsidR="00B51B57" w:rsidRPr="00D475FD" w:rsidRDefault="00E04EF8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R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>eferente di monitoraggio dell’Amministrazione (nome e cognome, recapito telefonico e di posta elettronica)</w:t>
            </w:r>
          </w:p>
        </w:tc>
        <w:tc>
          <w:tcPr>
            <w:tcW w:w="5145" w:type="dxa"/>
            <w:vAlign w:val="center"/>
          </w:tcPr>
          <w:p w14:paraId="4AF93E1B" w14:textId="3676457E" w:rsidR="00B51B57" w:rsidRPr="00D475FD" w:rsidRDefault="00687AAE" w:rsidP="00B51B57">
            <w:pPr>
              <w:pStyle w:val="TableParagraph"/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 xml:space="preserve">Luigi </w:t>
            </w:r>
            <w:r w:rsidR="00EF76DD" w:rsidRPr="00D475FD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>P</w:t>
            </w:r>
            <w:r w:rsidRPr="00D475FD">
              <w:rPr>
                <w:rStyle w:val="normaltextrun"/>
                <w:rFonts w:ascii="Palatino Linotype" w:hAnsi="Palatino Linotype" w:cstheme="minorBidi"/>
                <w:color w:val="000000"/>
                <w:shd w:val="clear" w:color="auto" w:fill="FFFFFF"/>
                <w:lang w:val="it-IT"/>
              </w:rPr>
              <w:t>agnotta</w:t>
            </w:r>
          </w:p>
        </w:tc>
      </w:tr>
      <w:tr w:rsidR="00B51B57" w:rsidRPr="00D475FD" w14:paraId="58804106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2EADD4B" w14:textId="36B0F5BD" w:rsidR="00B51B57" w:rsidRPr="00D475FD" w:rsidRDefault="00E04EF8" w:rsidP="00B07142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>ata di emissione del rapporto</w:t>
            </w:r>
          </w:p>
        </w:tc>
        <w:tc>
          <w:tcPr>
            <w:tcW w:w="5145" w:type="dxa"/>
            <w:vAlign w:val="center"/>
          </w:tcPr>
          <w:p w14:paraId="47385E23" w14:textId="0CE99CB7" w:rsidR="00B51B57" w:rsidRPr="00D475FD" w:rsidRDefault="00EF41F2" w:rsidP="2E028C23">
            <w:pPr>
              <w:pStyle w:val="TableParagraph"/>
              <w:rPr>
                <w:rFonts w:ascii="Palatino Linotype" w:hAnsi="Palatino Linotype" w:cstheme="minorBidi"/>
                <w:lang w:val="it-IT"/>
              </w:rPr>
            </w:pPr>
            <w:r>
              <w:rPr>
                <w:rFonts w:ascii="Palatino Linotype" w:hAnsi="Palatino Linotype" w:cstheme="minorBidi"/>
                <w:lang w:val="it-IT"/>
              </w:rPr>
              <w:t>12</w:t>
            </w:r>
            <w:r w:rsidR="00B07142" w:rsidRPr="00D475FD">
              <w:rPr>
                <w:rFonts w:ascii="Palatino Linotype" w:hAnsi="Palatino Linotype" w:cstheme="minorBidi"/>
                <w:lang w:val="it-IT"/>
              </w:rPr>
              <w:t>/0</w:t>
            </w:r>
            <w:r>
              <w:rPr>
                <w:rFonts w:ascii="Palatino Linotype" w:hAnsi="Palatino Linotype" w:cstheme="minorBidi"/>
                <w:lang w:val="it-IT"/>
              </w:rPr>
              <w:t>9</w:t>
            </w:r>
            <w:r w:rsidR="00B07142" w:rsidRPr="00D475FD">
              <w:rPr>
                <w:rFonts w:ascii="Palatino Linotype" w:hAnsi="Palatino Linotype" w:cstheme="minorBidi"/>
                <w:lang w:val="it-IT"/>
              </w:rPr>
              <w:t>/202</w:t>
            </w:r>
            <w:r w:rsidR="00505EC4" w:rsidRPr="00D475FD">
              <w:rPr>
                <w:rFonts w:ascii="Palatino Linotype" w:hAnsi="Palatino Linotype" w:cstheme="minorBidi"/>
                <w:lang w:val="it-IT"/>
              </w:rPr>
              <w:t>5</w:t>
            </w:r>
          </w:p>
        </w:tc>
      </w:tr>
      <w:tr w:rsidR="00B51B57" w:rsidRPr="00D475FD" w14:paraId="4BF10B84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4850085F" w14:textId="38D6AC5A" w:rsidR="00B51B57" w:rsidRPr="00D475FD" w:rsidRDefault="00832F92" w:rsidP="00B51B5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L</w:t>
            </w:r>
            <w:r w:rsidR="00B51B57" w:rsidRPr="00D475FD">
              <w:rPr>
                <w:rFonts w:ascii="Palatino Linotype" w:hAnsi="Palatino Linotype" w:cstheme="minorHAnsi"/>
                <w:lang w:val="it-IT"/>
              </w:rPr>
              <w:t>ista di distribuzione (organizzazione e nominativo)</w:t>
            </w:r>
          </w:p>
        </w:tc>
        <w:tc>
          <w:tcPr>
            <w:tcW w:w="5145" w:type="dxa"/>
            <w:vAlign w:val="center"/>
          </w:tcPr>
          <w:p w14:paraId="3299BC59" w14:textId="09C31DC4" w:rsidR="00096066" w:rsidRPr="00D475FD" w:rsidRDefault="00096066" w:rsidP="00B51B57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- RUP</w:t>
            </w:r>
          </w:p>
          <w:p w14:paraId="61B48703" w14:textId="1037E516" w:rsidR="00096066" w:rsidRPr="00D475FD" w:rsidRDefault="00096066" w:rsidP="00B51B57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- DEC</w:t>
            </w:r>
          </w:p>
          <w:p w14:paraId="415DF0F0" w14:textId="2C518B08" w:rsidR="00B51B57" w:rsidRPr="00D475FD" w:rsidRDefault="00096066" w:rsidP="00B51B57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 xml:space="preserve">- </w:t>
            </w:r>
            <w:r w:rsidR="00E94A42"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 xml:space="preserve">Gruppo di Lavoro del Monitoraggio </w:t>
            </w:r>
          </w:p>
        </w:tc>
      </w:tr>
      <w:tr w:rsidR="002C0643" w:rsidRPr="00D475FD" w14:paraId="3CE55E2C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070EF023" w14:textId="3557EE57" w:rsidR="002C0643" w:rsidRPr="00D475FD" w:rsidRDefault="002C0643" w:rsidP="002C064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Breve descrizione del contratto</w:t>
            </w:r>
          </w:p>
        </w:tc>
        <w:tc>
          <w:tcPr>
            <w:tcW w:w="5145" w:type="dxa"/>
            <w:vAlign w:val="center"/>
          </w:tcPr>
          <w:p w14:paraId="631F2543" w14:textId="7B1D5673" w:rsidR="002C0643" w:rsidRPr="00D475FD" w:rsidRDefault="002C0643" w:rsidP="002C0643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Fornitura sviluppi software e manutenzione</w:t>
            </w:r>
            <w:r w:rsidR="00EF41F2">
              <w:rPr>
                <w:rFonts w:ascii="Palatino Linotype" w:hAnsi="Palatino Linotype" w:cstheme="minorHAnsi"/>
                <w:lang w:val="it-IT"/>
              </w:rPr>
              <w:t xml:space="preserve"> area civile</w:t>
            </w:r>
          </w:p>
        </w:tc>
      </w:tr>
      <w:tr w:rsidR="002C0643" w:rsidRPr="00D475FD" w14:paraId="1CECD743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25F208D7" w14:textId="06C3996E" w:rsidR="002C0643" w:rsidRPr="00D475FD" w:rsidRDefault="002C0643" w:rsidP="002C064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Data</w:t>
            </w:r>
            <w:r w:rsidRPr="00D475FD">
              <w:rPr>
                <w:rFonts w:ascii="Palatino Linotype" w:hAnsi="Palatino Linotype" w:cstheme="minorHAnsi"/>
                <w:spacing w:val="-4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stipula</w:t>
            </w:r>
          </w:p>
        </w:tc>
        <w:tc>
          <w:tcPr>
            <w:tcW w:w="5145" w:type="dxa"/>
            <w:vAlign w:val="center"/>
          </w:tcPr>
          <w:p w14:paraId="5149F29A" w14:textId="7C4D9CE9" w:rsidR="002C0643" w:rsidRPr="00D475FD" w:rsidRDefault="00FB1B48" w:rsidP="002C0643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16/09/2020</w:t>
            </w:r>
          </w:p>
        </w:tc>
      </w:tr>
      <w:tr w:rsidR="002C0643" w:rsidRPr="00D475FD" w14:paraId="4BE981BE" w14:textId="77777777" w:rsidTr="2E028C23">
        <w:trPr>
          <w:trHeight w:val="680"/>
        </w:trPr>
        <w:tc>
          <w:tcPr>
            <w:tcW w:w="3961" w:type="dxa"/>
            <w:shd w:val="clear" w:color="auto" w:fill="D9E2F3" w:themeFill="accent1" w:themeFillTint="33"/>
            <w:vAlign w:val="center"/>
          </w:tcPr>
          <w:p w14:paraId="1EF7491C" w14:textId="261D66AD" w:rsidR="002C0643" w:rsidRPr="00D475FD" w:rsidRDefault="002C0643" w:rsidP="002C0643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Data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inizio</w:t>
            </w:r>
            <w:r w:rsidRPr="00D475FD">
              <w:rPr>
                <w:rFonts w:ascii="Palatino Linotype" w:hAnsi="Palatino Linotype" w:cstheme="minorHAnsi"/>
                <w:spacing w:val="-1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- Data</w:t>
            </w:r>
            <w:r w:rsidRPr="00D475FD">
              <w:rPr>
                <w:rFonts w:ascii="Palatino Linotype" w:hAnsi="Palatino Linotype" w:cstheme="minorHAnsi"/>
                <w:spacing w:val="-2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fine</w:t>
            </w:r>
            <w:r w:rsidRPr="00D475FD">
              <w:rPr>
                <w:rFonts w:ascii="Palatino Linotype" w:hAnsi="Palatino Linotype" w:cstheme="minorHAnsi"/>
                <w:spacing w:val="-3"/>
                <w:lang w:val="it-IT"/>
              </w:rPr>
              <w:t xml:space="preserve"> </w:t>
            </w:r>
            <w:r w:rsidRPr="00D475FD">
              <w:rPr>
                <w:rFonts w:ascii="Palatino Linotype" w:hAnsi="Palatino Linotype" w:cstheme="minorHAnsi"/>
                <w:lang w:val="it-IT"/>
              </w:rPr>
              <w:t>attività</w:t>
            </w:r>
          </w:p>
        </w:tc>
        <w:tc>
          <w:tcPr>
            <w:tcW w:w="5145" w:type="dxa"/>
            <w:vAlign w:val="center"/>
          </w:tcPr>
          <w:p w14:paraId="0FBC7537" w14:textId="29A85FC4" w:rsidR="002C0643" w:rsidRPr="00D475FD" w:rsidRDefault="00197C82" w:rsidP="002C0643">
            <w:pPr>
              <w:pStyle w:val="TableParagraph"/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</w:pPr>
            <w:r w:rsidRPr="00D475FD">
              <w:rPr>
                <w:rStyle w:val="normaltextrun"/>
                <w:rFonts w:ascii="Palatino Linotype" w:hAnsi="Palatino Linotype" w:cstheme="minorHAnsi"/>
                <w:color w:val="000000"/>
                <w:shd w:val="clear" w:color="auto" w:fill="FFFFFF"/>
                <w:lang w:val="it-IT"/>
              </w:rPr>
              <w:t>30/11/2021 – 30/11/2026</w:t>
            </w:r>
          </w:p>
        </w:tc>
      </w:tr>
    </w:tbl>
    <w:p w14:paraId="7DA5BCC3" w14:textId="4F4504D5" w:rsidR="001C71A6" w:rsidRPr="00D475FD" w:rsidRDefault="001C71A6" w:rsidP="00B51B57">
      <w:pPr>
        <w:rPr>
          <w:rFonts w:ascii="Palatino Linotype" w:hAnsi="Palatino Linotype" w:cstheme="minorHAnsi"/>
        </w:rPr>
      </w:pPr>
    </w:p>
    <w:p w14:paraId="3B03768F" w14:textId="7462FD2C" w:rsidR="00DE4EB7" w:rsidRPr="00D475FD" w:rsidRDefault="001C71A6" w:rsidP="001C71A6">
      <w:pPr>
        <w:widowControl/>
        <w:autoSpaceDE/>
        <w:autoSpaceDN/>
        <w:spacing w:after="160" w:line="259" w:lineRule="auto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br w:type="page"/>
      </w:r>
    </w:p>
    <w:p w14:paraId="5821E565" w14:textId="2F4DE7A6" w:rsidR="00C850DC" w:rsidRPr="00D475FD" w:rsidRDefault="00AA5D6B" w:rsidP="0065354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1" w:name="_Toc193117997"/>
      <w:r w:rsidRPr="00D475FD">
        <w:rPr>
          <w:rFonts w:ascii="Palatino Linotype" w:hAnsi="Palatino Linotype" w:cstheme="minorHAnsi"/>
        </w:rPr>
        <w:lastRenderedPageBreak/>
        <w:t>E</w:t>
      </w:r>
      <w:r w:rsidR="007A38E5" w:rsidRPr="00D475FD">
        <w:rPr>
          <w:rFonts w:ascii="Palatino Linotype" w:hAnsi="Palatino Linotype" w:cstheme="minorHAnsi"/>
        </w:rPr>
        <w:t xml:space="preserve">xecutive </w:t>
      </w:r>
      <w:r w:rsidRPr="00D475FD">
        <w:rPr>
          <w:rFonts w:ascii="Palatino Linotype" w:hAnsi="Palatino Linotype" w:cstheme="minorHAnsi"/>
        </w:rPr>
        <w:t>S</w:t>
      </w:r>
      <w:r w:rsidR="007A38E5" w:rsidRPr="00D475FD">
        <w:rPr>
          <w:rFonts w:ascii="Palatino Linotype" w:hAnsi="Palatino Linotype" w:cstheme="minorHAnsi"/>
        </w:rPr>
        <w:t>ummary</w:t>
      </w:r>
      <w:bookmarkEnd w:id="1"/>
    </w:p>
    <w:p w14:paraId="0DE66EA6" w14:textId="2EFA98E5" w:rsidR="00233787" w:rsidRPr="00D475FD" w:rsidRDefault="00C850DC" w:rsidP="00593588">
      <w:pPr>
        <w:pStyle w:val="Titolo3"/>
        <w:numPr>
          <w:ilvl w:val="1"/>
          <w:numId w:val="1"/>
        </w:numPr>
        <w:tabs>
          <w:tab w:val="left" w:pos="9072"/>
        </w:tabs>
        <w:spacing w:before="117" w:after="240"/>
        <w:ind w:left="720" w:hanging="720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2" w:name="_Toc193117998"/>
      <w:r w:rsidRPr="00D475FD">
        <w:rPr>
          <w:rFonts w:ascii="Palatino Linotype" w:eastAsia="Times New Roman" w:hAnsi="Palatino Linotype" w:cstheme="minorHAnsi"/>
          <w:b/>
          <w:bCs/>
          <w:color w:val="auto"/>
        </w:rPr>
        <w:t>Descrizione Sommaria dell’iniziativa contrattuale</w:t>
      </w:r>
      <w:bookmarkEnd w:id="2"/>
    </w:p>
    <w:p w14:paraId="04563B9E" w14:textId="7CEE2294" w:rsidR="003F3992" w:rsidRPr="00D475FD" w:rsidRDefault="00A45138" w:rsidP="003F3992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="Calibri"/>
          <w:color w:val="000000"/>
          <w:shd w:val="clear" w:color="auto" w:fill="FFFFFF"/>
        </w:rPr>
      </w:pPr>
      <w:r w:rsidRPr="00D475FD">
        <w:rPr>
          <w:rFonts w:ascii="Palatino Linotype" w:hAnsi="Palatino Linotype" w:cstheme="minorHAnsi"/>
        </w:rPr>
        <w:t xml:space="preserve">Il contratto in oggetto, stipulato dal </w:t>
      </w:r>
      <w:r w:rsidR="00FC7798" w:rsidRPr="00D475FD">
        <w:rPr>
          <w:rStyle w:val="normaltextrun"/>
          <w:rFonts w:ascii="Palatino Linotype" w:hAnsi="Palatino Linotype" w:cs="Calibri"/>
          <w:color w:val="000000"/>
          <w:shd w:val="clear" w:color="auto" w:fill="FFFFFF"/>
        </w:rPr>
        <w:t>Ministero della Giustizia -</w:t>
      </w:r>
      <w:r w:rsidR="00A07DEC" w:rsidRPr="00D475FD">
        <w:rPr>
          <w:rFonts w:ascii="Kunstler Script" w:eastAsiaTheme="minorHAnsi" w:hAnsi="Kunstler Script" w:cstheme="minorBidi"/>
          <w:sz w:val="52"/>
          <w:szCs w:val="52"/>
        </w:rPr>
        <w:t xml:space="preserve"> </w:t>
      </w:r>
      <w:r w:rsidR="00A07DEC" w:rsidRPr="00D475FD">
        <w:rPr>
          <w:rFonts w:ascii="Palatino Linotype" w:hAnsi="Palatino Linotype" w:cs="Calibri"/>
          <w:color w:val="000000"/>
          <w:shd w:val="clear" w:color="auto" w:fill="FFFFFF"/>
        </w:rPr>
        <w:t>Dipartimento per l’innovazione tecnologica della giustizia</w:t>
      </w:r>
      <w:r w:rsidR="00FC7798" w:rsidRPr="00D475FD">
        <w:rPr>
          <w:rStyle w:val="normaltextrun"/>
          <w:rFonts w:ascii="Palatino Linotype" w:hAnsi="Palatino Linotype" w:cs="Calibri"/>
          <w:color w:val="000000"/>
          <w:shd w:val="clear" w:color="auto" w:fill="FFFFFF"/>
        </w:rPr>
        <w:t>,</w:t>
      </w:r>
      <w:r w:rsidR="003F3992" w:rsidRPr="00D475FD">
        <w:rPr>
          <w:rFonts w:ascii="Palatino Linotype" w:hAnsi="Palatino Linotype" w:cstheme="minorHAnsi"/>
        </w:rPr>
        <w:t xml:space="preserve"> prevede la fornitura di servizi di progettazione sviluppo e reingegnerizzazione dei s</w:t>
      </w:r>
      <w:r w:rsidR="00D66371" w:rsidRPr="00D475FD">
        <w:rPr>
          <w:rFonts w:ascii="Palatino Linotype" w:hAnsi="Palatino Linotype" w:cstheme="minorHAnsi"/>
        </w:rPr>
        <w:t>oft</w:t>
      </w:r>
      <w:r w:rsidR="003F3992" w:rsidRPr="00D475FD">
        <w:rPr>
          <w:rFonts w:ascii="Palatino Linotype" w:hAnsi="Palatino Linotype" w:cstheme="minorHAnsi"/>
        </w:rPr>
        <w:t>w</w:t>
      </w:r>
      <w:r w:rsidR="00D66371" w:rsidRPr="00D475FD">
        <w:rPr>
          <w:rFonts w:ascii="Palatino Linotype" w:hAnsi="Palatino Linotype" w:cstheme="minorHAnsi"/>
        </w:rPr>
        <w:t>are</w:t>
      </w:r>
      <w:r w:rsidR="003F3992" w:rsidRPr="00D475FD">
        <w:rPr>
          <w:rFonts w:ascii="Palatino Linotype" w:hAnsi="Palatino Linotype" w:cstheme="minorHAnsi"/>
        </w:rPr>
        <w:t xml:space="preserve"> del Ministero della Giustizia (giurisdizione di legittimità, giurisdizione civile di merito e banche dati di giurisprudenza) e manutenzione dei relativi s</w:t>
      </w:r>
      <w:r w:rsidR="00D66371" w:rsidRPr="00D475FD">
        <w:rPr>
          <w:rFonts w:ascii="Palatino Linotype" w:hAnsi="Palatino Linotype" w:cstheme="minorHAnsi"/>
        </w:rPr>
        <w:t>oft</w:t>
      </w:r>
      <w:r w:rsidR="003F3992" w:rsidRPr="00D475FD">
        <w:rPr>
          <w:rFonts w:ascii="Palatino Linotype" w:hAnsi="Palatino Linotype" w:cstheme="minorHAnsi"/>
        </w:rPr>
        <w:t>w</w:t>
      </w:r>
      <w:r w:rsidR="00D66371" w:rsidRPr="00D475FD">
        <w:rPr>
          <w:rFonts w:ascii="Palatino Linotype" w:hAnsi="Palatino Linotype" w:cstheme="minorHAnsi"/>
        </w:rPr>
        <w:t>are</w:t>
      </w:r>
      <w:r w:rsidR="003F3992" w:rsidRPr="00D475FD">
        <w:rPr>
          <w:rFonts w:ascii="Palatino Linotype" w:hAnsi="Palatino Linotype" w:cstheme="minorHAnsi"/>
        </w:rPr>
        <w:t xml:space="preserve"> e servizi correlati.</w:t>
      </w:r>
    </w:p>
    <w:p w14:paraId="7B39C814" w14:textId="77777777" w:rsidR="003F3992" w:rsidRPr="00D475FD" w:rsidRDefault="003F3992" w:rsidP="003F3992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In particolare, l’elenco di servizi e forniture oggetto del presente contratto sono:</w:t>
      </w:r>
    </w:p>
    <w:p w14:paraId="72BDA37E" w14:textId="4EA7A5B5" w:rsidR="003F3992" w:rsidRPr="00D475FD" w:rsidRDefault="003F3992" w:rsidP="007D5159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Sviluppo di Software, Manutenzione Evolutiva e Migliorativa</w:t>
      </w:r>
      <w:r w:rsidR="00CC17F2" w:rsidRPr="00D475FD">
        <w:rPr>
          <w:rFonts w:ascii="Palatino Linotype" w:hAnsi="Palatino Linotype" w:cstheme="minorHAnsi"/>
        </w:rPr>
        <w:t>;</w:t>
      </w:r>
    </w:p>
    <w:p w14:paraId="70361F44" w14:textId="108CF17D" w:rsidR="003F3992" w:rsidRPr="00D475FD" w:rsidRDefault="003F3992" w:rsidP="007D5159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 xml:space="preserve">Manutenzione </w:t>
      </w:r>
      <w:proofErr w:type="spellStart"/>
      <w:r w:rsidRPr="00D475FD">
        <w:rPr>
          <w:rFonts w:ascii="Palatino Linotype" w:hAnsi="Palatino Linotype" w:cstheme="minorHAnsi"/>
        </w:rPr>
        <w:t>Adeguativa</w:t>
      </w:r>
      <w:proofErr w:type="spellEnd"/>
      <w:r w:rsidR="00CC17F2" w:rsidRPr="00D475FD">
        <w:rPr>
          <w:rFonts w:ascii="Palatino Linotype" w:hAnsi="Palatino Linotype" w:cstheme="minorHAnsi"/>
        </w:rPr>
        <w:t>;</w:t>
      </w:r>
    </w:p>
    <w:p w14:paraId="146259ED" w14:textId="0A190EFF" w:rsidR="003F3992" w:rsidRPr="00D475FD" w:rsidRDefault="003F3992" w:rsidP="007D5159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Personalizzazione e Parametrizzazione di soluzioni commerciali o di software open source o di software in riuso</w:t>
      </w:r>
      <w:r w:rsidR="00CC17F2" w:rsidRPr="00D475FD">
        <w:rPr>
          <w:rFonts w:ascii="Palatino Linotype" w:hAnsi="Palatino Linotype" w:cstheme="minorHAnsi"/>
        </w:rPr>
        <w:t>;</w:t>
      </w:r>
      <w:r w:rsidRPr="00D475FD">
        <w:rPr>
          <w:rFonts w:ascii="Palatino Linotype" w:hAnsi="Palatino Linotype" w:cstheme="minorHAnsi"/>
        </w:rPr>
        <w:t xml:space="preserve"> </w:t>
      </w:r>
    </w:p>
    <w:p w14:paraId="1C20A347" w14:textId="7E610428" w:rsidR="003F3992" w:rsidRPr="00D475FD" w:rsidRDefault="003F3992" w:rsidP="007D5159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bookmarkStart w:id="3" w:name="_Hlk112947452"/>
      <w:r w:rsidRPr="00D475FD">
        <w:rPr>
          <w:rFonts w:ascii="Palatino Linotype" w:hAnsi="Palatino Linotype" w:cstheme="minorHAnsi"/>
        </w:rPr>
        <w:t>Gestione del Portafoglio - Gestione Applicativi e basi dati</w:t>
      </w:r>
      <w:bookmarkEnd w:id="3"/>
      <w:r w:rsidR="00CC17F2" w:rsidRPr="00D475FD">
        <w:rPr>
          <w:rFonts w:ascii="Palatino Linotype" w:hAnsi="Palatino Linotype" w:cstheme="minorHAnsi"/>
        </w:rPr>
        <w:t>;</w:t>
      </w:r>
    </w:p>
    <w:p w14:paraId="2B24ADE4" w14:textId="6AE96339" w:rsidR="003F3992" w:rsidRPr="00D475FD" w:rsidRDefault="003F3992" w:rsidP="007D5159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Manutenzione Correttiva</w:t>
      </w:r>
      <w:r w:rsidR="00CC17F2" w:rsidRPr="00D475FD">
        <w:rPr>
          <w:rFonts w:ascii="Palatino Linotype" w:hAnsi="Palatino Linotype" w:cstheme="minorHAnsi"/>
        </w:rPr>
        <w:t>;</w:t>
      </w:r>
    </w:p>
    <w:p w14:paraId="392FC82A" w14:textId="169062BE" w:rsidR="003F3992" w:rsidRPr="00D475FD" w:rsidRDefault="003F3992" w:rsidP="007D5159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Supporto Tecnico Specialistico</w:t>
      </w:r>
      <w:r w:rsidR="00CC17F2" w:rsidRPr="00D475FD">
        <w:rPr>
          <w:rFonts w:ascii="Palatino Linotype" w:hAnsi="Palatino Linotype" w:cstheme="minorHAnsi"/>
        </w:rPr>
        <w:t>.</w:t>
      </w:r>
    </w:p>
    <w:p w14:paraId="1954EB8C" w14:textId="3EF0F5AE" w:rsidR="00042111" w:rsidRPr="00D475FD" w:rsidRDefault="003F3992" w:rsidP="10C2253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Bidi"/>
        </w:rPr>
      </w:pPr>
      <w:r w:rsidRPr="00D475FD">
        <w:rPr>
          <w:rFonts w:ascii="Palatino Linotype" w:hAnsi="Palatino Linotype" w:cstheme="minorBidi"/>
        </w:rPr>
        <w:t xml:space="preserve">Il valore complessivo massimo del contratto è </w:t>
      </w:r>
      <w:r w:rsidR="006374BB" w:rsidRPr="00D475FD">
        <w:rPr>
          <w:rFonts w:ascii="Palatino Linotype" w:hAnsi="Palatino Linotype" w:cstheme="minorBidi"/>
        </w:rPr>
        <w:t xml:space="preserve">22.147.150,00 € </w:t>
      </w:r>
      <w:r w:rsidRPr="00D475FD">
        <w:rPr>
          <w:rFonts w:ascii="Palatino Linotype" w:eastAsiaTheme="minorEastAsia" w:hAnsi="Palatino Linotype" w:cstheme="minorBidi"/>
        </w:rPr>
        <w:t>IVA e</w:t>
      </w:r>
      <w:r w:rsidRPr="00D475FD">
        <w:rPr>
          <w:rFonts w:ascii="Palatino Linotype" w:hAnsi="Palatino Linotype" w:cstheme="minorBidi"/>
        </w:rPr>
        <w:t>sclusa.</w:t>
      </w:r>
    </w:p>
    <w:p w14:paraId="137866B3" w14:textId="56C90EBD" w:rsidR="00B37765" w:rsidRPr="00D475FD" w:rsidRDefault="00B37765" w:rsidP="325F8F7E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Bidi"/>
        </w:rPr>
      </w:pPr>
      <w:r w:rsidRPr="00D475FD">
        <w:rPr>
          <w:rFonts w:ascii="Palatino Linotype" w:hAnsi="Palatino Linotype" w:cstheme="minorBidi"/>
        </w:rPr>
        <w:t xml:space="preserve">Ad oggi risultano liquidati </w:t>
      </w:r>
      <w:r w:rsidR="00F70058">
        <w:rPr>
          <w:rFonts w:ascii="Palatino Linotype" w:hAnsi="Palatino Linotype" w:cstheme="minorBidi"/>
        </w:rPr>
        <w:t>7.597.341,</w:t>
      </w:r>
      <w:r w:rsidR="00B51448">
        <w:rPr>
          <w:rFonts w:ascii="Palatino Linotype" w:hAnsi="Palatino Linotype" w:cstheme="minorBidi"/>
        </w:rPr>
        <w:t>54</w:t>
      </w:r>
      <w:r w:rsidR="00523942" w:rsidRPr="00D475FD">
        <w:rPr>
          <w:rFonts w:ascii="Palatino Linotype" w:hAnsi="Palatino Linotype" w:cstheme="minorBidi"/>
        </w:rPr>
        <w:t xml:space="preserve"> €</w:t>
      </w:r>
      <w:r w:rsidR="00440B11" w:rsidRPr="00D475FD">
        <w:rPr>
          <w:rFonts w:ascii="Palatino Linotype" w:hAnsi="Palatino Linotype" w:cstheme="minorBidi"/>
        </w:rPr>
        <w:t xml:space="preserve"> </w:t>
      </w:r>
      <w:r w:rsidRPr="00D475FD">
        <w:rPr>
          <w:rFonts w:ascii="Palatino Linotype" w:hAnsi="Palatino Linotype" w:cstheme="minorBidi"/>
        </w:rPr>
        <w:t>IVA esclusa.</w:t>
      </w:r>
      <w:r w:rsidR="00C321E3" w:rsidRPr="00D475FD">
        <w:rPr>
          <w:rFonts w:ascii="Palatino Linotype" w:hAnsi="Palatino Linotype" w:cstheme="minorBidi"/>
        </w:rPr>
        <w:t xml:space="preserve"> </w:t>
      </w:r>
    </w:p>
    <w:p w14:paraId="102C3A15" w14:textId="77777777" w:rsidR="001E4C77" w:rsidRPr="00D475FD" w:rsidRDefault="001E4C77" w:rsidP="0023378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</w:p>
    <w:p w14:paraId="4DF76A04" w14:textId="1FDEAF8A" w:rsidR="00233787" w:rsidRPr="00D475FD" w:rsidRDefault="00233787" w:rsidP="00233787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4" w:name="_Toc193117999"/>
      <w:r w:rsidRPr="00D475FD">
        <w:rPr>
          <w:rFonts w:ascii="Palatino Linotype" w:hAnsi="Palatino Linotype" w:cstheme="minorHAnsi"/>
        </w:rPr>
        <w:t>O</w:t>
      </w:r>
      <w:r w:rsidR="007A38E5" w:rsidRPr="00D475FD">
        <w:rPr>
          <w:rFonts w:ascii="Palatino Linotype" w:hAnsi="Palatino Linotype" w:cstheme="minorHAnsi"/>
        </w:rPr>
        <w:t>biettivi Contrattuali</w:t>
      </w:r>
      <w:bookmarkEnd w:id="4"/>
    </w:p>
    <w:p w14:paraId="1099DC10" w14:textId="77777777" w:rsidR="00DC2490" w:rsidRPr="00D475FD" w:rsidRDefault="00DC2490" w:rsidP="00DC2490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L’Amministrazione intende realizzare un sistema informatico omogeneo e standardizzato, nonché ottimizzare e ridurre il costo totale di gestione del proprio parco applicativo. </w:t>
      </w:r>
    </w:p>
    <w:p w14:paraId="799C19BE" w14:textId="77777777" w:rsidR="00DC2490" w:rsidRPr="00D475FD" w:rsidRDefault="00DC2490" w:rsidP="00DC2490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I principali obiettivi di carattere tecnologico che da ciò derivano sono:</w:t>
      </w:r>
    </w:p>
    <w:p w14:paraId="7494763F" w14:textId="57F55886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Minimizzare gli oneri di manutenzione del software applicativo;</w:t>
      </w:r>
    </w:p>
    <w:p w14:paraId="7E894233" w14:textId="0E40D5B4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Minimizzare i costi di licenze e di supporto a componenti open source;</w:t>
      </w:r>
    </w:p>
    <w:p w14:paraId="72BD8D58" w14:textId="57FF75D2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Minimizzare gli oneri di gestione dei sistemi in esercizio;</w:t>
      </w:r>
    </w:p>
    <w:p w14:paraId="6CE45BAE" w14:textId="4DCD200B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Minimizzare il legame con le piattaforme commerciali;</w:t>
      </w:r>
    </w:p>
    <w:p w14:paraId="0F9E2603" w14:textId="35A0DD23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Ottimizzare la diffusione del software applicativo, riducendo i tempi di indisponibilità dei sistemi in occasione di aggiornamenti/patch;</w:t>
      </w:r>
    </w:p>
    <w:p w14:paraId="4125080C" w14:textId="61F0558C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Aumentare la qualità e affidabilità del software rilasciato, minimizzando i fenomeni di regressione e i malfunzionamenti (bug);</w:t>
      </w:r>
    </w:p>
    <w:p w14:paraId="44B28EB9" w14:textId="4CF30ABC" w:rsidR="00DC2490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Perseguire il massimo livello di usabilità e semplicità d’uso, per i magistrati anche in mobilità;</w:t>
      </w:r>
    </w:p>
    <w:p w14:paraId="309A0C6E" w14:textId="444DB916" w:rsidR="002D29B1" w:rsidRPr="00D475FD" w:rsidRDefault="00DC2490" w:rsidP="00CC17F2">
      <w:pPr>
        <w:pStyle w:val="Corpotesto"/>
        <w:numPr>
          <w:ilvl w:val="0"/>
          <w:numId w:val="19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>Ottimizzare e rendere più efficace l’assistenza agli utenti finali.</w:t>
      </w:r>
    </w:p>
    <w:p w14:paraId="48F64E43" w14:textId="77777777" w:rsidR="006B5C7B" w:rsidRPr="00D475FD" w:rsidRDefault="006B5C7B" w:rsidP="00C058B9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2F9309F" w14:textId="60376A4F" w:rsidR="00C058B9" w:rsidRPr="00D475FD" w:rsidRDefault="00C058B9" w:rsidP="00C058B9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In particolare, nella tabella che segue si riporta lo scopo di fornitura volto al raggiungimento dell’obiettivo sopra citato, dando evidenza dello stato di avvio per ciascun servizio e dell’incidenza economica dello stesso sull’intero importo contrattuale.</w:t>
      </w:r>
    </w:p>
    <w:p w14:paraId="3649676C" w14:textId="77777777" w:rsidR="00FE0C17" w:rsidRPr="00D475FD" w:rsidRDefault="00FE0C17" w:rsidP="00C058B9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11520" w:type="dxa"/>
        <w:jc w:val="center"/>
        <w:tblLook w:val="04A0" w:firstRow="1" w:lastRow="0" w:firstColumn="1" w:lastColumn="0" w:noHBand="0" w:noVBand="1"/>
      </w:tblPr>
      <w:tblGrid>
        <w:gridCol w:w="2222"/>
        <w:gridCol w:w="3443"/>
        <w:gridCol w:w="2113"/>
        <w:gridCol w:w="1871"/>
        <w:gridCol w:w="1871"/>
      </w:tblGrid>
      <w:tr w:rsidR="000316DC" w:rsidRPr="00D475FD" w14:paraId="24E81F37" w14:textId="10B2103F" w:rsidTr="001C71A6">
        <w:trPr>
          <w:jc w:val="center"/>
        </w:trPr>
        <w:tc>
          <w:tcPr>
            <w:tcW w:w="2222" w:type="dxa"/>
            <w:shd w:val="clear" w:color="auto" w:fill="D9E2F3" w:themeFill="accent1" w:themeFillTint="33"/>
            <w:vAlign w:val="center"/>
          </w:tcPr>
          <w:p w14:paraId="4E749364" w14:textId="04F5006D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3443" w:type="dxa"/>
            <w:shd w:val="clear" w:color="auto" w:fill="D9E2F3" w:themeFill="accent1" w:themeFillTint="33"/>
            <w:vAlign w:val="center"/>
          </w:tcPr>
          <w:p w14:paraId="694740C3" w14:textId="564BAEB7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Descrizione</w:t>
            </w:r>
          </w:p>
        </w:tc>
        <w:tc>
          <w:tcPr>
            <w:tcW w:w="2113" w:type="dxa"/>
            <w:shd w:val="clear" w:color="auto" w:fill="D9E2F3" w:themeFill="accent1" w:themeFillTint="33"/>
            <w:vAlign w:val="center"/>
          </w:tcPr>
          <w:p w14:paraId="6D8C6615" w14:textId="0AE7B271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Valore economico</w:t>
            </w:r>
          </w:p>
          <w:p w14:paraId="3E352D63" w14:textId="75B53ED0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(Iva Esclusa)</w:t>
            </w:r>
          </w:p>
        </w:tc>
        <w:tc>
          <w:tcPr>
            <w:tcW w:w="1871" w:type="dxa"/>
            <w:shd w:val="clear" w:color="auto" w:fill="D9E2F3" w:themeFill="accent1" w:themeFillTint="33"/>
            <w:vAlign w:val="center"/>
          </w:tcPr>
          <w:p w14:paraId="191B0F40" w14:textId="2D5F0AB9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Incidenza (%)</w:t>
            </w:r>
          </w:p>
        </w:tc>
        <w:tc>
          <w:tcPr>
            <w:tcW w:w="1871" w:type="dxa"/>
            <w:shd w:val="clear" w:color="auto" w:fill="D9E2F3" w:themeFill="accent1" w:themeFillTint="33"/>
            <w:vAlign w:val="center"/>
          </w:tcPr>
          <w:p w14:paraId="1A25EA40" w14:textId="4744AF0E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Stato</w:t>
            </w:r>
          </w:p>
        </w:tc>
      </w:tr>
      <w:tr w:rsidR="000316DC" w:rsidRPr="00D475FD" w14:paraId="3B98A0CC" w14:textId="073C5E0C" w:rsidTr="001C71A6">
        <w:trPr>
          <w:jc w:val="center"/>
        </w:trPr>
        <w:tc>
          <w:tcPr>
            <w:tcW w:w="2222" w:type="dxa"/>
            <w:vAlign w:val="center"/>
          </w:tcPr>
          <w:p w14:paraId="7802490F" w14:textId="6292BC04" w:rsidR="0006254C" w:rsidRPr="00D475FD" w:rsidRDefault="0089692C" w:rsidP="001C71A6">
            <w:pPr>
              <w:pStyle w:val="Corpotesto"/>
              <w:tabs>
                <w:tab w:val="left" w:pos="9072"/>
              </w:tabs>
              <w:spacing w:before="46" w:line="247" w:lineRule="auto"/>
              <w:jc w:val="center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 xml:space="preserve">Progettazione e </w:t>
            </w:r>
            <w:r w:rsidR="000316DC" w:rsidRPr="00D475FD">
              <w:rPr>
                <w:rFonts w:ascii="Palatino Linotype" w:hAnsi="Palatino Linotype" w:cstheme="minorHAnsi"/>
                <w:lang w:val="it-IT"/>
              </w:rPr>
              <w:t>Sviluppo di software</w:t>
            </w:r>
            <w:r w:rsidR="00BA07F4" w:rsidRPr="00D475FD">
              <w:rPr>
                <w:rFonts w:ascii="Palatino Linotype" w:hAnsi="Palatino Linotype" w:cstheme="minorHAnsi"/>
                <w:lang w:val="it-IT"/>
              </w:rPr>
              <w:t>. Manutenzione Evolutiva e Migliorativa</w:t>
            </w:r>
          </w:p>
        </w:tc>
        <w:tc>
          <w:tcPr>
            <w:tcW w:w="3443" w:type="dxa"/>
            <w:vAlign w:val="center"/>
          </w:tcPr>
          <w:p w14:paraId="0AB9BA9D" w14:textId="10AD6A20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Sviluppi di interi nuovi sistemi informativi o applicazioni, o parti autonome degli stessi e Reingegnerizzazione di sistemi informativi o applicazioni</w:t>
            </w:r>
            <w:r w:rsidR="00BA07F4" w:rsidRPr="00D475FD">
              <w:rPr>
                <w:rFonts w:ascii="Palatino Linotype" w:hAnsi="Palatino Linotype"/>
                <w:lang w:val="it-IT"/>
              </w:rPr>
              <w:t xml:space="preserve"> </w:t>
            </w:r>
            <w:r w:rsidR="00BA07F4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Manutenzione evolutiva di software ad hoc, che comprende gli interventi volti ad arricchire le applicazioni esistenti di nuove funzionalità, o comunque a modificare e/o integrare le funzionalità già esistenti.</w:t>
            </w:r>
          </w:p>
        </w:tc>
        <w:tc>
          <w:tcPr>
            <w:tcW w:w="2113" w:type="dxa"/>
            <w:vAlign w:val="center"/>
          </w:tcPr>
          <w:p w14:paraId="1238DDBF" w14:textId="5548C6E2" w:rsidR="000316DC" w:rsidRPr="00D475FD" w:rsidRDefault="001E2E08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9.876.660</w:t>
            </w:r>
            <w:r w:rsidR="005E5C77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,00 €</w:t>
            </w:r>
          </w:p>
        </w:tc>
        <w:tc>
          <w:tcPr>
            <w:tcW w:w="1871" w:type="dxa"/>
            <w:vAlign w:val="center"/>
          </w:tcPr>
          <w:p w14:paraId="2A9FB185" w14:textId="0CAB787B" w:rsidR="000316DC" w:rsidRPr="00D475FD" w:rsidRDefault="00074F9F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44,6</w:t>
            </w:r>
            <w:r w:rsidR="00F25658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%</w:t>
            </w:r>
          </w:p>
        </w:tc>
        <w:tc>
          <w:tcPr>
            <w:tcW w:w="1871" w:type="dxa"/>
            <w:vAlign w:val="center"/>
          </w:tcPr>
          <w:p w14:paraId="31F0A6CF" w14:textId="0B006CD3" w:rsidR="000316DC" w:rsidRPr="00D475FD" w:rsidRDefault="00734833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In corso</w:t>
            </w:r>
          </w:p>
        </w:tc>
      </w:tr>
      <w:tr w:rsidR="000316DC" w:rsidRPr="00D475FD" w14:paraId="203C7A42" w14:textId="33B1BB91" w:rsidTr="001C71A6">
        <w:trPr>
          <w:jc w:val="center"/>
        </w:trPr>
        <w:tc>
          <w:tcPr>
            <w:tcW w:w="2222" w:type="dxa"/>
            <w:vAlign w:val="center"/>
          </w:tcPr>
          <w:p w14:paraId="695D7984" w14:textId="6D731781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Manutenzione </w:t>
            </w:r>
            <w:proofErr w:type="spellStart"/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Adeguativa</w:t>
            </w:r>
            <w:proofErr w:type="spellEnd"/>
          </w:p>
        </w:tc>
        <w:tc>
          <w:tcPr>
            <w:tcW w:w="3443" w:type="dxa"/>
            <w:vAlign w:val="center"/>
          </w:tcPr>
          <w:p w14:paraId="0C4ABD78" w14:textId="1B3411EF" w:rsidR="000316DC" w:rsidRPr="00D475FD" w:rsidRDefault="000316DC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Il servizio di Manutenzione </w:t>
            </w:r>
            <w:proofErr w:type="spellStart"/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Adeguativa</w:t>
            </w:r>
            <w:proofErr w:type="spellEnd"/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comprende l’attività volta ad assicurare la costante aderenza delle procedure e dei programmi all’evoluzione dell’ambiente tecnologico del sistema informativo ed al cambiamento dei requisiti (organizzativi, normativi, d’ambiente) che non modificano i requisiti funzionali.</w:t>
            </w:r>
          </w:p>
        </w:tc>
        <w:tc>
          <w:tcPr>
            <w:tcW w:w="2113" w:type="dxa"/>
            <w:vAlign w:val="center"/>
          </w:tcPr>
          <w:p w14:paraId="2A536050" w14:textId="3489E0D7" w:rsidR="000316DC" w:rsidRPr="00D475FD" w:rsidRDefault="00072D33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270.000,00</w:t>
            </w:r>
            <w:r w:rsidR="000316DC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€</w:t>
            </w:r>
          </w:p>
        </w:tc>
        <w:tc>
          <w:tcPr>
            <w:tcW w:w="1871" w:type="dxa"/>
            <w:vAlign w:val="center"/>
          </w:tcPr>
          <w:p w14:paraId="5BA2ADFC" w14:textId="0431B146" w:rsidR="000316DC" w:rsidRPr="00D475FD" w:rsidRDefault="002416D0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1,2</w:t>
            </w:r>
            <w:r w:rsidR="000316DC"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%</w:t>
            </w:r>
          </w:p>
        </w:tc>
        <w:tc>
          <w:tcPr>
            <w:tcW w:w="1871" w:type="dxa"/>
            <w:vAlign w:val="center"/>
          </w:tcPr>
          <w:p w14:paraId="44757BF2" w14:textId="32D45DAC" w:rsidR="000316DC" w:rsidRPr="00D475FD" w:rsidRDefault="00C52BF2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In corso</w:t>
            </w:r>
          </w:p>
        </w:tc>
      </w:tr>
      <w:tr w:rsidR="007C4A5D" w:rsidRPr="00D475FD" w14:paraId="1D86B198" w14:textId="77777777" w:rsidTr="001C71A6">
        <w:trPr>
          <w:jc w:val="center"/>
        </w:trPr>
        <w:tc>
          <w:tcPr>
            <w:tcW w:w="2222" w:type="dxa"/>
            <w:vAlign w:val="center"/>
          </w:tcPr>
          <w:p w14:paraId="0F4D0DC1" w14:textId="77777777" w:rsidR="007C4A5D" w:rsidRPr="00D475FD" w:rsidRDefault="007C4A5D" w:rsidP="001C71A6">
            <w:pPr>
              <w:pStyle w:val="Corpotesto"/>
              <w:tabs>
                <w:tab w:val="left" w:pos="9072"/>
              </w:tabs>
              <w:spacing w:before="46" w:line="247" w:lineRule="auto"/>
              <w:jc w:val="center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Manutenzione Correttiva</w:t>
            </w:r>
          </w:p>
          <w:p w14:paraId="7A437F0A" w14:textId="77777777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3443" w:type="dxa"/>
            <w:vAlign w:val="center"/>
          </w:tcPr>
          <w:p w14:paraId="0A6D9FFE" w14:textId="1A1560C2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Per servizio di manutenzione correttiva si intende la diagnosi e la rimozione delle </w:t>
            </w: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cause e degli effetti, sia sulle interfacce utente che sulle basi dati, dei malfunzionamenti delle procedure e dei programmi in esercizio ed in genere di tutti i componenti del sistema non in garanzia. Infatti, la garanzia già copre completamente la rimozione degli errori su tutto il software sviluppato/modificato dai servizi realizzativi del medesimo AS</w:t>
            </w:r>
          </w:p>
        </w:tc>
        <w:tc>
          <w:tcPr>
            <w:tcW w:w="2113" w:type="dxa"/>
            <w:vAlign w:val="center"/>
          </w:tcPr>
          <w:p w14:paraId="2A9F8268" w14:textId="393487C5" w:rsidR="007C4A5D" w:rsidRPr="00D475FD" w:rsidRDefault="002A2988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 xml:space="preserve">476.550,00 </w:t>
            </w:r>
            <w:r w:rsidR="007C4A5D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€</w:t>
            </w:r>
          </w:p>
        </w:tc>
        <w:tc>
          <w:tcPr>
            <w:tcW w:w="1871" w:type="dxa"/>
            <w:vAlign w:val="center"/>
          </w:tcPr>
          <w:p w14:paraId="445A8CEC" w14:textId="5C6546BF" w:rsidR="007C4A5D" w:rsidRPr="00D475FD" w:rsidRDefault="00232F9D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2,</w:t>
            </w:r>
            <w:r w:rsidR="0036058B"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2</w:t>
            </w:r>
            <w:r w:rsidR="007C4A5D"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%</w:t>
            </w:r>
          </w:p>
        </w:tc>
        <w:tc>
          <w:tcPr>
            <w:tcW w:w="1871" w:type="dxa"/>
            <w:vAlign w:val="center"/>
          </w:tcPr>
          <w:p w14:paraId="60DD1BF7" w14:textId="05C114A8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Da avviare</w:t>
            </w:r>
          </w:p>
        </w:tc>
      </w:tr>
      <w:tr w:rsidR="007C4A5D" w:rsidRPr="00D475FD" w14:paraId="15D2F8C4" w14:textId="43E848B3" w:rsidTr="001C71A6">
        <w:trPr>
          <w:jc w:val="center"/>
        </w:trPr>
        <w:tc>
          <w:tcPr>
            <w:tcW w:w="2222" w:type="dxa"/>
            <w:vAlign w:val="center"/>
          </w:tcPr>
          <w:p w14:paraId="0C2715E4" w14:textId="14977786" w:rsidR="007C4A5D" w:rsidRPr="00D475FD" w:rsidRDefault="007C4A5D" w:rsidP="001C71A6">
            <w:pPr>
              <w:pStyle w:val="Corpotesto"/>
              <w:tabs>
                <w:tab w:val="left" w:pos="9072"/>
              </w:tabs>
              <w:spacing w:before="46" w:line="247" w:lineRule="auto"/>
              <w:jc w:val="center"/>
              <w:rPr>
                <w:rFonts w:ascii="Palatino Linotype" w:hAnsi="Palatino Linotype" w:cstheme="minorHAnsi"/>
                <w:lang w:val="it-IT"/>
              </w:rPr>
            </w:pPr>
            <w:bookmarkStart w:id="5" w:name="_Hlk175656195"/>
            <w:r w:rsidRPr="00D475FD">
              <w:rPr>
                <w:rFonts w:ascii="Palatino Linotype" w:hAnsi="Palatino Linotype" w:cstheme="minorHAnsi"/>
                <w:lang w:val="it-IT"/>
              </w:rPr>
              <w:t xml:space="preserve">Personalizzazione e Parametrizzazione </w:t>
            </w:r>
            <w:bookmarkEnd w:id="5"/>
            <w:r w:rsidRPr="00D475FD">
              <w:rPr>
                <w:rFonts w:ascii="Palatino Linotype" w:hAnsi="Palatino Linotype" w:cstheme="minorHAnsi"/>
                <w:lang w:val="it-IT"/>
              </w:rPr>
              <w:t>di soluzioni commerciali o di software open source o di software in riuso</w:t>
            </w:r>
          </w:p>
          <w:p w14:paraId="4B2AFDFB" w14:textId="4DA2E78C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3443" w:type="dxa"/>
            <w:vAlign w:val="center"/>
          </w:tcPr>
          <w:p w14:paraId="4B5E7560" w14:textId="4692C273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servizio consiste principalmente nella personalizzazione e parametrizzazione di software commerciale o opensource ed in attività volte al riuso, adeguamento, customizzazione ed integrazione di software già disponibile in base agli obiettivi, funzionali o meno, richiesti dall’Amministrazione.</w:t>
            </w:r>
          </w:p>
        </w:tc>
        <w:tc>
          <w:tcPr>
            <w:tcW w:w="2113" w:type="dxa"/>
            <w:vAlign w:val="center"/>
          </w:tcPr>
          <w:p w14:paraId="01C9D2FF" w14:textId="3F873CAB" w:rsidR="007C4A5D" w:rsidRPr="00D475FD" w:rsidRDefault="00C4057E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686.940</w:t>
            </w:r>
            <w:r w:rsidR="00E657A7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,00 €</w:t>
            </w:r>
          </w:p>
        </w:tc>
        <w:tc>
          <w:tcPr>
            <w:tcW w:w="1871" w:type="dxa"/>
            <w:vAlign w:val="center"/>
          </w:tcPr>
          <w:p w14:paraId="36B0426D" w14:textId="74F22C5D" w:rsidR="007C4A5D" w:rsidRPr="00D475FD" w:rsidRDefault="00514CA9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3,1</w:t>
            </w:r>
            <w:r w:rsidR="007C4A5D"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%</w:t>
            </w:r>
          </w:p>
        </w:tc>
        <w:tc>
          <w:tcPr>
            <w:tcW w:w="1871" w:type="dxa"/>
            <w:vAlign w:val="center"/>
          </w:tcPr>
          <w:p w14:paraId="4139D132" w14:textId="6C45BBB6" w:rsidR="007C4A5D" w:rsidRPr="00D475FD" w:rsidRDefault="00462B82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In corso</w:t>
            </w:r>
          </w:p>
        </w:tc>
      </w:tr>
      <w:tr w:rsidR="00850643" w:rsidRPr="00D475FD" w14:paraId="5129ADAA" w14:textId="77777777" w:rsidTr="001C71A6">
        <w:trPr>
          <w:jc w:val="center"/>
        </w:trPr>
        <w:tc>
          <w:tcPr>
            <w:tcW w:w="2222" w:type="dxa"/>
            <w:vAlign w:val="center"/>
          </w:tcPr>
          <w:p w14:paraId="4CC18AE0" w14:textId="737AEC75" w:rsidR="00850643" w:rsidRPr="00D475FD" w:rsidRDefault="00850643" w:rsidP="001C71A6">
            <w:pPr>
              <w:pStyle w:val="Corpotesto"/>
              <w:tabs>
                <w:tab w:val="left" w:pos="9072"/>
              </w:tabs>
              <w:spacing w:before="46" w:line="247" w:lineRule="auto"/>
              <w:jc w:val="center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Gestione del Portafoglio, Applicativa e base dati</w:t>
            </w:r>
          </w:p>
        </w:tc>
        <w:tc>
          <w:tcPr>
            <w:tcW w:w="3443" w:type="dxa"/>
            <w:vAlign w:val="center"/>
          </w:tcPr>
          <w:p w14:paraId="37F98AD1" w14:textId="760788B3" w:rsidR="00850643" w:rsidRPr="00D475FD" w:rsidRDefault="004E7E29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Il servizio di Gestione applicativi e basi dati comprende l’insieme di attività, risorse e strumenti di supporto per la gestione delle applicazioni e delle loro relative basi dati.</w:t>
            </w:r>
          </w:p>
        </w:tc>
        <w:tc>
          <w:tcPr>
            <w:tcW w:w="2113" w:type="dxa"/>
            <w:vAlign w:val="center"/>
          </w:tcPr>
          <w:p w14:paraId="7B4F4CCA" w14:textId="509CC789" w:rsidR="00850643" w:rsidRPr="00D475FD" w:rsidRDefault="00A8290B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5.758.</w:t>
            </w:r>
            <w:r w:rsidR="00736A55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000</w:t>
            </w:r>
            <w:r w:rsidR="007A22CF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>,00 €</w:t>
            </w:r>
          </w:p>
        </w:tc>
        <w:tc>
          <w:tcPr>
            <w:tcW w:w="1871" w:type="dxa"/>
            <w:vAlign w:val="center"/>
          </w:tcPr>
          <w:p w14:paraId="2C41CB8F" w14:textId="629B62A7" w:rsidR="00850643" w:rsidRPr="00D475FD" w:rsidRDefault="00854FF2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26</w:t>
            </w:r>
            <w:r w:rsidR="00BA128C"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%</w:t>
            </w:r>
          </w:p>
        </w:tc>
        <w:tc>
          <w:tcPr>
            <w:tcW w:w="1871" w:type="dxa"/>
            <w:vAlign w:val="center"/>
          </w:tcPr>
          <w:p w14:paraId="732AEF42" w14:textId="154E07FF" w:rsidR="00850643" w:rsidRPr="00D475FD" w:rsidRDefault="00764041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In corso</w:t>
            </w:r>
          </w:p>
        </w:tc>
      </w:tr>
      <w:tr w:rsidR="007C4A5D" w:rsidRPr="00D475FD" w14:paraId="6397A95B" w14:textId="4D9A70D6" w:rsidTr="001C71A6">
        <w:trPr>
          <w:jc w:val="center"/>
        </w:trPr>
        <w:tc>
          <w:tcPr>
            <w:tcW w:w="2222" w:type="dxa"/>
            <w:vAlign w:val="center"/>
          </w:tcPr>
          <w:p w14:paraId="53A6C605" w14:textId="77777777" w:rsidR="007C4A5D" w:rsidRPr="00D475FD" w:rsidRDefault="007C4A5D" w:rsidP="001C71A6">
            <w:pPr>
              <w:pStyle w:val="Corpotesto"/>
              <w:tabs>
                <w:tab w:val="left" w:pos="9072"/>
              </w:tabs>
              <w:spacing w:before="46" w:line="247" w:lineRule="auto"/>
              <w:jc w:val="center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Supporto Tecnico Specialistico</w:t>
            </w:r>
          </w:p>
          <w:p w14:paraId="49312AD8" w14:textId="02751CE9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</w:p>
        </w:tc>
        <w:tc>
          <w:tcPr>
            <w:tcW w:w="3443" w:type="dxa"/>
            <w:vAlign w:val="center"/>
          </w:tcPr>
          <w:p w14:paraId="7E457B94" w14:textId="06084EEE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Il Servizio di Supporto Specialistico è finalizzato allo svolgimento di un insieme di attività propedeutiche ovvero integrative ovvero di ausilio </w:t>
            </w: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ai servizi sia realizzativi o sia complementari al fine di rendere sinergici ed esaustivi tutti i componenti della fornitura.</w:t>
            </w:r>
          </w:p>
        </w:tc>
        <w:tc>
          <w:tcPr>
            <w:tcW w:w="2113" w:type="dxa"/>
            <w:vAlign w:val="center"/>
          </w:tcPr>
          <w:p w14:paraId="4AA2D82C" w14:textId="7B69DE7A" w:rsidR="007C4A5D" w:rsidRPr="00D475FD" w:rsidRDefault="00BF2E53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lastRenderedPageBreak/>
              <w:t>5.079.000</w:t>
            </w:r>
            <w:r w:rsidR="007A22CF" w:rsidRPr="00D475FD">
              <w:rPr>
                <w:rFonts w:ascii="Palatino Linotype" w:hAnsi="Palatino Linotype" w:cstheme="minorHAnsi"/>
                <w:sz w:val="24"/>
                <w:szCs w:val="24"/>
                <w:lang w:val="it-IT"/>
              </w:rPr>
              <w:t xml:space="preserve"> €</w:t>
            </w:r>
          </w:p>
        </w:tc>
        <w:tc>
          <w:tcPr>
            <w:tcW w:w="1871" w:type="dxa"/>
            <w:vAlign w:val="center"/>
          </w:tcPr>
          <w:p w14:paraId="644BF01E" w14:textId="107B33DD" w:rsidR="007C4A5D" w:rsidRPr="00D475FD" w:rsidRDefault="00801728" w:rsidP="001C71A6">
            <w:pPr>
              <w:jc w:val="center"/>
              <w:rPr>
                <w:rFonts w:ascii="Palatino Linotype" w:hAnsi="Palatino Linotype" w:cstheme="minorHAnsi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22,9</w:t>
            </w:r>
            <w:r w:rsidR="00532420"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%</w:t>
            </w:r>
          </w:p>
        </w:tc>
        <w:tc>
          <w:tcPr>
            <w:tcW w:w="1871" w:type="dxa"/>
            <w:vAlign w:val="center"/>
          </w:tcPr>
          <w:p w14:paraId="38E78E3F" w14:textId="73F4D8DF" w:rsidR="007C4A5D" w:rsidRPr="00D475FD" w:rsidRDefault="007C4A5D" w:rsidP="001C71A6">
            <w:pPr>
              <w:jc w:val="center"/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</w:pPr>
            <w:r w:rsidRPr="00D475FD">
              <w:rPr>
                <w:rFonts w:ascii="Palatino Linotype" w:hAnsi="Palatino Linotype" w:cstheme="minorHAnsi"/>
                <w:color w:val="000000"/>
                <w:sz w:val="24"/>
                <w:szCs w:val="24"/>
                <w:lang w:val="it-IT"/>
              </w:rPr>
              <w:t>In corso</w:t>
            </w:r>
          </w:p>
        </w:tc>
      </w:tr>
    </w:tbl>
    <w:p w14:paraId="40EF73DB" w14:textId="0A48F3E0" w:rsidR="0073715C" w:rsidRPr="00D475FD" w:rsidRDefault="0073715C" w:rsidP="00914FC3">
      <w:pPr>
        <w:pStyle w:val="Titolo1"/>
        <w:ind w:left="720" w:firstLine="0"/>
        <w:rPr>
          <w:rFonts w:ascii="Palatino Linotype" w:hAnsi="Palatino Linotype" w:cstheme="minorHAnsi"/>
        </w:rPr>
      </w:pPr>
      <w:bookmarkStart w:id="6" w:name="_Toc126080521"/>
    </w:p>
    <w:p w14:paraId="2BC08303" w14:textId="136ECB21" w:rsidR="0073715C" w:rsidRPr="00D475FD" w:rsidRDefault="0073715C" w:rsidP="00914FC3">
      <w:pPr>
        <w:pStyle w:val="Titolo1"/>
        <w:ind w:left="720" w:firstLine="0"/>
        <w:rPr>
          <w:rFonts w:ascii="Palatino Linotype" w:hAnsi="Palatino Linotype" w:cstheme="minorHAnsi"/>
        </w:rPr>
      </w:pPr>
    </w:p>
    <w:p w14:paraId="1C737DF1" w14:textId="4E5AAEDD" w:rsidR="0073715C" w:rsidRPr="00D475FD" w:rsidRDefault="0073715C" w:rsidP="00914FC3">
      <w:pPr>
        <w:pStyle w:val="Titolo1"/>
        <w:ind w:left="720" w:firstLine="0"/>
        <w:rPr>
          <w:rFonts w:ascii="Palatino Linotype" w:hAnsi="Palatino Linotype" w:cstheme="minorHAnsi"/>
        </w:rPr>
      </w:pPr>
    </w:p>
    <w:p w14:paraId="07F33E50" w14:textId="77777777" w:rsidR="0073715C" w:rsidRPr="00D475FD" w:rsidRDefault="0073715C" w:rsidP="00914FC3">
      <w:pPr>
        <w:pStyle w:val="Titolo1"/>
        <w:ind w:left="720" w:firstLine="0"/>
        <w:rPr>
          <w:rFonts w:ascii="Palatino Linotype" w:hAnsi="Palatino Linotype" w:cstheme="minorHAnsi"/>
        </w:rPr>
      </w:pPr>
    </w:p>
    <w:p w14:paraId="196B0AC2" w14:textId="52D6A6B9" w:rsidR="00F12956" w:rsidRPr="00D475FD" w:rsidRDefault="0065354A" w:rsidP="00FB51BA">
      <w:pPr>
        <w:pStyle w:val="Titolo1"/>
        <w:numPr>
          <w:ilvl w:val="0"/>
          <w:numId w:val="1"/>
        </w:numPr>
        <w:rPr>
          <w:rFonts w:ascii="Palatino Linotype" w:hAnsi="Palatino Linotype" w:cstheme="minorHAnsi"/>
        </w:rPr>
      </w:pPr>
      <w:bookmarkStart w:id="7" w:name="_Toc193118000"/>
      <w:r w:rsidRPr="00D475FD">
        <w:rPr>
          <w:rFonts w:ascii="Palatino Linotype" w:hAnsi="Palatino Linotype" w:cstheme="minorHAnsi"/>
        </w:rPr>
        <w:t>E</w:t>
      </w:r>
      <w:r w:rsidR="007A38E5" w:rsidRPr="00D475FD">
        <w:rPr>
          <w:rFonts w:ascii="Palatino Linotype" w:hAnsi="Palatino Linotype" w:cstheme="minorHAnsi"/>
        </w:rPr>
        <w:t>secuzione del contratto</w:t>
      </w:r>
      <w:bookmarkEnd w:id="7"/>
      <w:r w:rsidR="007A38E5" w:rsidRPr="00D475FD">
        <w:rPr>
          <w:rFonts w:ascii="Palatino Linotype" w:hAnsi="Palatino Linotype" w:cstheme="minorHAnsi"/>
        </w:rPr>
        <w:t xml:space="preserve"> </w:t>
      </w:r>
      <w:bookmarkEnd w:id="6"/>
    </w:p>
    <w:p w14:paraId="702DD75F" w14:textId="77777777" w:rsidR="003B481F" w:rsidRPr="00D475FD" w:rsidRDefault="003B481F" w:rsidP="003B481F">
      <w:pPr>
        <w:rPr>
          <w:rFonts w:ascii="Palatino Linotype" w:hAnsi="Palatino Linotype"/>
          <w:highlight w:val="yellow"/>
        </w:rPr>
      </w:pPr>
    </w:p>
    <w:p w14:paraId="5F343E24" w14:textId="2947FF76" w:rsidR="00D93D8B" w:rsidRPr="00D475FD" w:rsidRDefault="0041236B" w:rsidP="00921F50">
      <w:pPr>
        <w:pStyle w:val="Titolo3"/>
        <w:numPr>
          <w:ilvl w:val="1"/>
          <w:numId w:val="1"/>
        </w:numPr>
        <w:tabs>
          <w:tab w:val="left" w:pos="9072"/>
        </w:tabs>
        <w:spacing w:before="22" w:after="240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8" w:name="_Toc193118001"/>
      <w:bookmarkStart w:id="9" w:name="_Toc126080522"/>
      <w:r w:rsidRPr="00D475FD">
        <w:rPr>
          <w:rFonts w:ascii="Palatino Linotype" w:eastAsia="Times New Roman" w:hAnsi="Palatino Linotype" w:cstheme="minorHAnsi"/>
          <w:b/>
          <w:bCs/>
          <w:color w:val="auto"/>
        </w:rPr>
        <w:t xml:space="preserve">Stato di avanzamento </w:t>
      </w:r>
      <w:r w:rsidR="007A38E5" w:rsidRPr="00D475FD">
        <w:rPr>
          <w:rFonts w:ascii="Palatino Linotype" w:eastAsia="Times New Roman" w:hAnsi="Palatino Linotype" w:cstheme="minorHAnsi"/>
          <w:b/>
          <w:bCs/>
          <w:color w:val="auto"/>
        </w:rPr>
        <w:t xml:space="preserve">- </w:t>
      </w:r>
      <w:r w:rsidRPr="00D475FD">
        <w:rPr>
          <w:rFonts w:ascii="Palatino Linotype" w:eastAsia="Times New Roman" w:hAnsi="Palatino Linotype" w:cstheme="minorHAnsi"/>
          <w:b/>
          <w:bCs/>
          <w:color w:val="auto"/>
        </w:rPr>
        <w:t>SAL e SAC</w:t>
      </w:r>
      <w:bookmarkEnd w:id="8"/>
    </w:p>
    <w:p w14:paraId="4E53E69E" w14:textId="27883C25" w:rsidR="006A5D65" w:rsidRPr="00D475FD" w:rsidRDefault="006A5D65" w:rsidP="10C2253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Bidi"/>
        </w:rPr>
      </w:pPr>
      <w:r w:rsidRPr="00D475FD">
        <w:rPr>
          <w:rFonts w:ascii="Palatino Linotype" w:hAnsi="Palatino Linotype" w:cstheme="minorBidi"/>
        </w:rPr>
        <w:t>Non vi è nessun atto collegato al contratto nel periodo di riferimento del rapporto.</w:t>
      </w:r>
    </w:p>
    <w:p w14:paraId="1D477CAC" w14:textId="77777777" w:rsidR="00CF1FB0" w:rsidRPr="00D475FD" w:rsidRDefault="004A2DE5" w:rsidP="004A2DE5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</w:rPr>
        <w:t xml:space="preserve">Nel corso </w:t>
      </w:r>
      <w:r w:rsidR="0003180B" w:rsidRPr="00D475FD">
        <w:rPr>
          <w:rFonts w:ascii="Palatino Linotype" w:hAnsi="Palatino Linotype" w:cstheme="minorHAnsi"/>
        </w:rPr>
        <w:t xml:space="preserve">dell’esecuzione contrattuale </w:t>
      </w:r>
      <w:r w:rsidRPr="00D475FD">
        <w:rPr>
          <w:rFonts w:ascii="Palatino Linotype" w:hAnsi="Palatino Linotype" w:cstheme="minorHAnsi"/>
        </w:rPr>
        <w:t>sono stati avviati</w:t>
      </w:r>
      <w:r w:rsidR="00CF1FB0" w:rsidRPr="00D475FD">
        <w:rPr>
          <w:rFonts w:ascii="Palatino Linotype" w:hAnsi="Palatino Linotype" w:cstheme="minorHAnsi"/>
        </w:rPr>
        <w:t xml:space="preserve"> interventi per i seguenti servizi:</w:t>
      </w:r>
    </w:p>
    <w:p w14:paraId="37926D0E" w14:textId="7CF7ECAE" w:rsidR="004F3043" w:rsidRPr="00D475FD" w:rsidRDefault="00CF1FB0" w:rsidP="00FA18FC">
      <w:pPr>
        <w:pStyle w:val="Corpotesto"/>
        <w:numPr>
          <w:ilvl w:val="0"/>
          <w:numId w:val="2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D475FD">
        <w:rPr>
          <w:rFonts w:ascii="Palatino Linotype" w:hAnsi="Palatino Linotype" w:cstheme="minorHAnsi"/>
          <w:b/>
          <w:bCs/>
        </w:rPr>
        <w:t>Progettazione e sviluppo</w:t>
      </w:r>
      <w:r w:rsidR="008E3AF1" w:rsidRPr="00D475FD">
        <w:rPr>
          <w:rFonts w:ascii="Palatino Linotype" w:hAnsi="Palatino Linotype" w:cstheme="minorHAnsi"/>
          <w:b/>
          <w:bCs/>
        </w:rPr>
        <w:t>,</w:t>
      </w:r>
      <w:r w:rsidR="00D36244" w:rsidRPr="00D475FD">
        <w:rPr>
          <w:rFonts w:ascii="Palatino Linotype" w:hAnsi="Palatino Linotype" w:cstheme="minorHAnsi"/>
        </w:rPr>
        <w:t xml:space="preserve"> al fine di </w:t>
      </w:r>
      <w:r w:rsidR="0048047D" w:rsidRPr="00D475FD">
        <w:rPr>
          <w:rFonts w:ascii="Palatino Linotype" w:hAnsi="Palatino Linotype" w:cstheme="minorHAnsi"/>
        </w:rPr>
        <w:t xml:space="preserve">realizzare </w:t>
      </w:r>
      <w:r w:rsidR="00D36244" w:rsidRPr="00D475FD">
        <w:rPr>
          <w:rFonts w:ascii="Palatino Linotype" w:hAnsi="Palatino Linotype" w:cstheme="minorHAnsi"/>
        </w:rPr>
        <w:t xml:space="preserve">una </w:t>
      </w:r>
      <w:r w:rsidR="00184BB4" w:rsidRPr="00D475FD">
        <w:rPr>
          <w:rFonts w:ascii="Palatino Linotype" w:hAnsi="Palatino Linotype" w:cstheme="minorHAnsi"/>
        </w:rPr>
        <w:t>reingegnerizzazione del Sistema Italgiure;</w:t>
      </w:r>
    </w:p>
    <w:p w14:paraId="17A5037E" w14:textId="0186415D" w:rsidR="00184BB4" w:rsidRPr="00D475FD" w:rsidRDefault="00BE7AD2" w:rsidP="00FA18FC">
      <w:pPr>
        <w:pStyle w:val="Corpotesto"/>
        <w:numPr>
          <w:ilvl w:val="0"/>
          <w:numId w:val="2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D475FD">
        <w:rPr>
          <w:rFonts w:ascii="Palatino Linotype" w:hAnsi="Palatino Linotype" w:cstheme="minorHAnsi"/>
          <w:b/>
          <w:bCs/>
        </w:rPr>
        <w:t>Gestione del portafoglio applicativo e base dati</w:t>
      </w:r>
      <w:r w:rsidR="008E3AF1" w:rsidRPr="00D475FD">
        <w:rPr>
          <w:rFonts w:ascii="Palatino Linotype" w:hAnsi="Palatino Linotype" w:cstheme="minorHAnsi"/>
          <w:b/>
          <w:bCs/>
        </w:rPr>
        <w:t>,</w:t>
      </w:r>
      <w:r w:rsidRPr="00D475FD">
        <w:rPr>
          <w:rFonts w:ascii="Palatino Linotype" w:hAnsi="Palatino Linotype" w:cstheme="minorHAnsi"/>
        </w:rPr>
        <w:t xml:space="preserve"> al fine di evadere le ri</w:t>
      </w:r>
      <w:r w:rsidR="0063066E" w:rsidRPr="00D475FD">
        <w:rPr>
          <w:rFonts w:ascii="Palatino Linotype" w:hAnsi="Palatino Linotype" w:cstheme="minorHAnsi"/>
        </w:rPr>
        <w:t>chieste provenienti dalla Cassazione</w:t>
      </w:r>
      <w:r w:rsidR="0048047D" w:rsidRPr="00D475FD">
        <w:rPr>
          <w:rFonts w:ascii="Palatino Linotype" w:hAnsi="Palatino Linotype" w:cstheme="minorHAnsi"/>
        </w:rPr>
        <w:t xml:space="preserve"> e dai sistemi relativi al PCT;</w:t>
      </w:r>
    </w:p>
    <w:p w14:paraId="0EE47D79" w14:textId="32F7F637" w:rsidR="0063066E" w:rsidRPr="00D475FD" w:rsidRDefault="00D2666B" w:rsidP="0063066E">
      <w:pPr>
        <w:pStyle w:val="Corpotesto"/>
        <w:numPr>
          <w:ilvl w:val="0"/>
          <w:numId w:val="21"/>
        </w:numPr>
        <w:tabs>
          <w:tab w:val="left" w:pos="9072"/>
        </w:tabs>
        <w:spacing w:before="117"/>
        <w:jc w:val="both"/>
        <w:rPr>
          <w:rFonts w:ascii="Palatino Linotype" w:hAnsi="Palatino Linotype" w:cstheme="minorHAnsi"/>
          <w:b/>
          <w:bCs/>
        </w:rPr>
      </w:pPr>
      <w:r w:rsidRPr="00D475FD">
        <w:rPr>
          <w:rFonts w:ascii="Palatino Linotype" w:hAnsi="Palatino Linotype" w:cstheme="minorHAnsi"/>
          <w:b/>
          <w:bCs/>
        </w:rPr>
        <w:t xml:space="preserve">Servizi personalizzati, </w:t>
      </w:r>
      <w:r w:rsidRPr="00D475FD">
        <w:rPr>
          <w:rFonts w:ascii="Palatino Linotype" w:hAnsi="Palatino Linotype" w:cstheme="minorHAnsi"/>
        </w:rPr>
        <w:t xml:space="preserve">al fine di realizzare una POC </w:t>
      </w:r>
      <w:r w:rsidR="00C26DC9" w:rsidRPr="00D475FD">
        <w:rPr>
          <w:rFonts w:ascii="Palatino Linotype" w:hAnsi="Palatino Linotype" w:cstheme="minorHAnsi"/>
        </w:rPr>
        <w:t>per l’integrazione relativa alla reingegnerizzazione del Sistema Italgiure</w:t>
      </w:r>
      <w:r w:rsidR="005A5C47" w:rsidRPr="00D475FD">
        <w:rPr>
          <w:rFonts w:ascii="Palatino Linotype" w:hAnsi="Palatino Linotype" w:cstheme="minorHAnsi"/>
        </w:rPr>
        <w:t xml:space="preserve"> e implementare un nuovo servizio di deposito dei fascicoli per il Civil</w:t>
      </w:r>
      <w:r w:rsidR="00DE2952" w:rsidRPr="00D475FD">
        <w:rPr>
          <w:rFonts w:ascii="Palatino Linotype" w:hAnsi="Palatino Linotype" w:cstheme="minorHAnsi"/>
        </w:rPr>
        <w:t>e.</w:t>
      </w:r>
    </w:p>
    <w:p w14:paraId="65F5796E" w14:textId="1686462F" w:rsidR="0071342B" w:rsidRPr="00D475FD" w:rsidRDefault="0071342B" w:rsidP="0063066E">
      <w:pPr>
        <w:pStyle w:val="Corpotesto"/>
        <w:numPr>
          <w:ilvl w:val="0"/>
          <w:numId w:val="21"/>
        </w:numPr>
        <w:tabs>
          <w:tab w:val="left" w:pos="9072"/>
        </w:tabs>
        <w:spacing w:before="117"/>
        <w:jc w:val="both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  <w:b/>
          <w:bCs/>
        </w:rPr>
        <w:t>Parametrizzazione</w:t>
      </w:r>
      <w:r w:rsidR="00FE3DB2" w:rsidRPr="00D475FD">
        <w:rPr>
          <w:rFonts w:ascii="Palatino Linotype" w:hAnsi="Palatino Linotype" w:cstheme="minorHAnsi"/>
          <w:b/>
          <w:bCs/>
        </w:rPr>
        <w:t xml:space="preserve"> e Personalizzazione</w:t>
      </w:r>
      <w:r w:rsidR="0072258A" w:rsidRPr="00D475FD">
        <w:rPr>
          <w:rFonts w:ascii="Palatino Linotype" w:hAnsi="Palatino Linotype" w:cstheme="minorHAnsi"/>
          <w:b/>
          <w:bCs/>
        </w:rPr>
        <w:t xml:space="preserve">, </w:t>
      </w:r>
      <w:r w:rsidR="0048047D" w:rsidRPr="00D475FD">
        <w:rPr>
          <w:rFonts w:ascii="Palatino Linotype" w:hAnsi="Palatino Linotype" w:cstheme="minorHAnsi"/>
        </w:rPr>
        <w:t>a supporto per la</w:t>
      </w:r>
      <w:r w:rsidR="00D23A05" w:rsidRPr="00D475FD">
        <w:rPr>
          <w:rFonts w:ascii="Palatino Linotype" w:hAnsi="Palatino Linotype" w:cstheme="minorHAnsi"/>
        </w:rPr>
        <w:t xml:space="preserve"> realizzazione del </w:t>
      </w:r>
      <w:r w:rsidR="006D617F" w:rsidRPr="00D475FD">
        <w:rPr>
          <w:rFonts w:ascii="Palatino Linotype" w:hAnsi="Palatino Linotype" w:cstheme="minorHAnsi"/>
        </w:rPr>
        <w:t xml:space="preserve">Software relativo al </w:t>
      </w:r>
      <w:r w:rsidR="00851E07" w:rsidRPr="00D475FD">
        <w:rPr>
          <w:rFonts w:ascii="Palatino Linotype" w:hAnsi="Palatino Linotype" w:cstheme="minorHAnsi"/>
        </w:rPr>
        <w:t>Nuovo Tribunale della Famiglia</w:t>
      </w:r>
      <w:r w:rsidR="00046D09" w:rsidRPr="00D475FD">
        <w:rPr>
          <w:rFonts w:ascii="Palatino Linotype" w:hAnsi="Palatino Linotype" w:cstheme="minorHAnsi"/>
        </w:rPr>
        <w:t>.</w:t>
      </w:r>
    </w:p>
    <w:p w14:paraId="4EEFEF67" w14:textId="58F280E9" w:rsidR="000C3772" w:rsidRPr="00D475FD" w:rsidRDefault="000C3772" w:rsidP="00364F97">
      <w:pPr>
        <w:pStyle w:val="Corpotesto"/>
        <w:numPr>
          <w:ilvl w:val="0"/>
          <w:numId w:val="21"/>
        </w:numPr>
        <w:tabs>
          <w:tab w:val="left" w:pos="9072"/>
        </w:tabs>
        <w:spacing w:before="46" w:line="247" w:lineRule="auto"/>
        <w:rPr>
          <w:rFonts w:ascii="Palatino Linotype" w:hAnsi="Palatino Linotype" w:cstheme="minorHAnsi"/>
        </w:rPr>
      </w:pPr>
      <w:r w:rsidRPr="00D475FD">
        <w:rPr>
          <w:rFonts w:ascii="Palatino Linotype" w:hAnsi="Palatino Linotype" w:cstheme="minorHAnsi"/>
          <w:b/>
          <w:bCs/>
        </w:rPr>
        <w:t xml:space="preserve">Supporto Tecnico Specialistico, </w:t>
      </w:r>
      <w:r w:rsidRPr="00D475FD">
        <w:rPr>
          <w:rFonts w:ascii="Palatino Linotype" w:hAnsi="Palatino Linotype" w:cstheme="minorHAnsi"/>
        </w:rPr>
        <w:t xml:space="preserve">per le attività di mappatura del parco applicativo attualmente esercito in ambito civile e per la definizione delle caratteristiche funzionali e costruttive di ciascuna applicazione, delle dipendenze e </w:t>
      </w:r>
      <w:r w:rsidR="00364F97" w:rsidRPr="00D475FD">
        <w:rPr>
          <w:rFonts w:ascii="Palatino Linotype" w:hAnsi="Palatino Linotype" w:cstheme="minorHAnsi"/>
        </w:rPr>
        <w:t xml:space="preserve">delle </w:t>
      </w:r>
      <w:r w:rsidRPr="00D475FD">
        <w:rPr>
          <w:rFonts w:ascii="Palatino Linotype" w:hAnsi="Palatino Linotype" w:cstheme="minorHAnsi"/>
        </w:rPr>
        <w:t>relazioni tra le varie applicazioni e i dati gestiti.</w:t>
      </w:r>
    </w:p>
    <w:p w14:paraId="0CE966B8" w14:textId="77777777" w:rsidR="0063066E" w:rsidRPr="00D475FD" w:rsidRDefault="0063066E" w:rsidP="0063066E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676D1378" w14:textId="432F3784" w:rsidR="00F12956" w:rsidRPr="00D475FD" w:rsidRDefault="0062766A" w:rsidP="00F12956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0" w:name="_Toc193118002"/>
      <w:r w:rsidRPr="00D475FD">
        <w:rPr>
          <w:rFonts w:ascii="Palatino Linotype" w:eastAsia="Times New Roman" w:hAnsi="Palatino Linotype" w:cstheme="minorHAnsi"/>
          <w:b/>
          <w:bCs/>
          <w:color w:val="auto"/>
        </w:rPr>
        <w:t>Indicatori di monitoraggio e livelli di servizio</w:t>
      </w:r>
      <w:bookmarkEnd w:id="10"/>
      <w:r w:rsidR="002947AB" w:rsidRPr="00D475FD">
        <w:rPr>
          <w:rFonts w:ascii="Palatino Linotype" w:eastAsia="Times New Roman" w:hAnsi="Palatino Linotype" w:cstheme="minorHAnsi"/>
          <w:b/>
          <w:bCs/>
          <w:color w:val="auto"/>
        </w:rPr>
        <w:t xml:space="preserve"> </w:t>
      </w:r>
      <w:bookmarkEnd w:id="9"/>
    </w:p>
    <w:p w14:paraId="6F83B4F5" w14:textId="77777777" w:rsidR="00FC085A" w:rsidRPr="00D475FD" w:rsidRDefault="00FC085A" w:rsidP="00232AEA">
      <w:pPr>
        <w:rPr>
          <w:rFonts w:ascii="Palatino Linotype" w:hAnsi="Palatino Linotype" w:cstheme="minorHAnsi"/>
        </w:rPr>
      </w:pPr>
    </w:p>
    <w:p w14:paraId="29F5772E" w14:textId="24D36C18" w:rsidR="00FA3B3E" w:rsidRPr="00D475FD" w:rsidRDefault="00232AEA" w:rsidP="00270C70">
      <w:pPr>
        <w:spacing w:line="276" w:lineRule="auto"/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L’attivi</w:t>
      </w:r>
      <w:r w:rsidR="00D24AD3" w:rsidRPr="00D475FD">
        <w:rPr>
          <w:rFonts w:ascii="Palatino Linotype" w:hAnsi="Palatino Linotype" w:cstheme="minorHAnsi"/>
          <w:sz w:val="24"/>
          <w:szCs w:val="24"/>
        </w:rPr>
        <w:t xml:space="preserve">tà di monitoraggio svolta durante l’esecuzione del contratto </w:t>
      </w:r>
      <w:r w:rsidR="007E6280" w:rsidRPr="00D475FD">
        <w:rPr>
          <w:rFonts w:ascii="Palatino Linotype" w:hAnsi="Palatino Linotype" w:cstheme="minorHAnsi"/>
          <w:sz w:val="24"/>
          <w:szCs w:val="24"/>
        </w:rPr>
        <w:t>si è basata sul calcolo del rispetto dei valori attesi per ciascun indicatore</w:t>
      </w:r>
      <w:r w:rsidR="00FA3B3E" w:rsidRPr="00D475FD">
        <w:rPr>
          <w:rFonts w:ascii="Palatino Linotype" w:hAnsi="Palatino Linotype" w:cstheme="minorHAnsi"/>
          <w:sz w:val="24"/>
          <w:szCs w:val="24"/>
        </w:rPr>
        <w:t xml:space="preserve"> (riportati nella tabella</w:t>
      </w:r>
      <w:r w:rsidR="007821F8" w:rsidRPr="00D475FD">
        <w:rPr>
          <w:rFonts w:ascii="Palatino Linotype" w:hAnsi="Palatino Linotype" w:cstheme="minorHAnsi"/>
          <w:sz w:val="24"/>
          <w:szCs w:val="24"/>
        </w:rPr>
        <w:t xml:space="preserve"> che segue</w:t>
      </w:r>
      <w:r w:rsidR="00FA3B3E" w:rsidRPr="00D475FD">
        <w:rPr>
          <w:rFonts w:ascii="Palatino Linotype" w:hAnsi="Palatino Linotype" w:cstheme="minorHAnsi"/>
          <w:sz w:val="24"/>
          <w:szCs w:val="24"/>
        </w:rPr>
        <w:t>)</w:t>
      </w:r>
      <w:r w:rsidR="007E6280" w:rsidRPr="00D475FD">
        <w:rPr>
          <w:rFonts w:ascii="Palatino Linotype" w:hAnsi="Palatino Linotype" w:cstheme="minorHAnsi"/>
          <w:sz w:val="24"/>
          <w:szCs w:val="24"/>
        </w:rPr>
        <w:t>.</w:t>
      </w:r>
    </w:p>
    <w:p w14:paraId="409B69E0" w14:textId="167EEA86" w:rsidR="00960512" w:rsidRPr="00D475FD" w:rsidRDefault="007E6280" w:rsidP="00270C70">
      <w:pPr>
        <w:spacing w:line="276" w:lineRule="auto"/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Nello specifico, </w:t>
      </w:r>
      <w:r w:rsidR="005A0B85" w:rsidRPr="00D475FD">
        <w:rPr>
          <w:rFonts w:ascii="Palatino Linotype" w:hAnsi="Palatino Linotype" w:cstheme="minorHAnsi"/>
          <w:sz w:val="24"/>
          <w:szCs w:val="24"/>
        </w:rPr>
        <w:t xml:space="preserve">non </w:t>
      </w:r>
      <w:r w:rsidR="00C60420" w:rsidRPr="00D475FD">
        <w:rPr>
          <w:rFonts w:ascii="Palatino Linotype" w:hAnsi="Palatino Linotype" w:cstheme="minorHAnsi"/>
          <w:sz w:val="24"/>
          <w:szCs w:val="24"/>
        </w:rPr>
        <w:t>è stato possibile calcolar</w:t>
      </w:r>
      <w:r w:rsidR="00CC7171" w:rsidRPr="00D475FD">
        <w:rPr>
          <w:rFonts w:ascii="Palatino Linotype" w:hAnsi="Palatino Linotype" w:cstheme="minorHAnsi"/>
          <w:sz w:val="24"/>
          <w:szCs w:val="24"/>
        </w:rPr>
        <w:t>e</w:t>
      </w:r>
      <w:r w:rsidR="00C60420" w:rsidRPr="00D475FD">
        <w:rPr>
          <w:rFonts w:ascii="Palatino Linotype" w:hAnsi="Palatino Linotype" w:cstheme="minorHAnsi"/>
          <w:sz w:val="24"/>
          <w:szCs w:val="24"/>
        </w:rPr>
        <w:t xml:space="preserve"> </w:t>
      </w:r>
      <w:r w:rsidR="00CC7171" w:rsidRPr="00D475FD">
        <w:rPr>
          <w:rFonts w:ascii="Palatino Linotype" w:hAnsi="Palatino Linotype" w:cstheme="minorHAnsi"/>
          <w:sz w:val="24"/>
          <w:szCs w:val="24"/>
        </w:rPr>
        <w:t>il</w:t>
      </w:r>
      <w:r w:rsidR="005A0B85" w:rsidRPr="00D475FD">
        <w:rPr>
          <w:rFonts w:ascii="Palatino Linotype" w:hAnsi="Palatino Linotype" w:cstheme="minorHAnsi"/>
          <w:sz w:val="24"/>
          <w:szCs w:val="24"/>
        </w:rPr>
        <w:t xml:space="preserve"> valore di alcuni indicatori</w:t>
      </w:r>
      <w:r w:rsidR="005A1440" w:rsidRPr="00D475FD">
        <w:rPr>
          <w:rFonts w:ascii="Palatino Linotype" w:hAnsi="Palatino Linotype" w:cstheme="minorHAnsi"/>
          <w:sz w:val="24"/>
          <w:szCs w:val="24"/>
        </w:rPr>
        <w:t xml:space="preserve">, essendo il contratto </w:t>
      </w:r>
      <w:r w:rsidR="00CC7171" w:rsidRPr="00D475FD">
        <w:rPr>
          <w:rFonts w:ascii="Palatino Linotype" w:hAnsi="Palatino Linotype" w:cstheme="minorHAnsi"/>
          <w:sz w:val="24"/>
          <w:szCs w:val="24"/>
        </w:rPr>
        <w:t>ancora in corso di esecuzione</w:t>
      </w:r>
      <w:r w:rsidR="0086741C" w:rsidRPr="00D475FD">
        <w:rPr>
          <w:rFonts w:ascii="Palatino Linotype" w:hAnsi="Palatino Linotype" w:cstheme="minorHAnsi"/>
          <w:sz w:val="24"/>
          <w:szCs w:val="24"/>
        </w:rPr>
        <w:t xml:space="preserve">; </w:t>
      </w:r>
      <w:r w:rsidR="00CC7171" w:rsidRPr="00D475FD">
        <w:rPr>
          <w:rFonts w:ascii="Palatino Linotype" w:hAnsi="Palatino Linotype" w:cstheme="minorHAnsi"/>
          <w:sz w:val="24"/>
          <w:szCs w:val="24"/>
        </w:rPr>
        <w:t xml:space="preserve">mentre per gli indicatori calcolati si evince un </w:t>
      </w:r>
      <w:r w:rsidR="00D6224F" w:rsidRPr="00D475FD">
        <w:rPr>
          <w:rFonts w:ascii="Palatino Linotype" w:hAnsi="Palatino Linotype" w:cstheme="minorHAnsi"/>
          <w:sz w:val="24"/>
          <w:szCs w:val="24"/>
        </w:rPr>
        <w:t>rispetto totale dei valori attesi</w:t>
      </w:r>
      <w:r w:rsidR="00A32649" w:rsidRPr="00D475FD">
        <w:rPr>
          <w:rFonts w:ascii="Palatino Linotype" w:hAnsi="Palatino Linotype" w:cstheme="minorHAnsi"/>
          <w:sz w:val="24"/>
          <w:szCs w:val="24"/>
        </w:rPr>
        <w:t xml:space="preserve"> previsti contrattualmente.</w:t>
      </w:r>
    </w:p>
    <w:p w14:paraId="6D8252EB" w14:textId="77777777" w:rsidR="00774E77" w:rsidRPr="00D475FD" w:rsidRDefault="00774E77" w:rsidP="00774E77">
      <w:pPr>
        <w:jc w:val="both"/>
        <w:rPr>
          <w:rFonts w:ascii="Palatino Linotype" w:hAnsi="Palatino Linotype" w:cstheme="minorHAnsi"/>
          <w:sz w:val="24"/>
          <w:szCs w:val="24"/>
          <w:highlight w:val="yellow"/>
        </w:rPr>
      </w:pPr>
    </w:p>
    <w:p w14:paraId="1125AA39" w14:textId="5DE698FA" w:rsidR="00F12956" w:rsidRPr="00D475FD" w:rsidRDefault="00AD41CB" w:rsidP="00E11D82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Di seguito vengono riportati </w:t>
      </w:r>
      <w:r w:rsidRPr="00D475FD">
        <w:rPr>
          <w:rFonts w:ascii="Palatino Linotype" w:hAnsi="Palatino Linotype" w:cstheme="minorHAnsi"/>
          <w:b/>
          <w:bCs/>
          <w:sz w:val="24"/>
          <w:szCs w:val="24"/>
        </w:rPr>
        <w:t>i pr</w:t>
      </w:r>
      <w:r w:rsidR="00E11D82" w:rsidRPr="00D475FD">
        <w:rPr>
          <w:rFonts w:ascii="Palatino Linotype" w:hAnsi="Palatino Linotype" w:cstheme="minorHAnsi"/>
          <w:b/>
          <w:bCs/>
          <w:sz w:val="24"/>
          <w:szCs w:val="24"/>
        </w:rPr>
        <w:t xml:space="preserve">incipali </w:t>
      </w:r>
      <w:r w:rsidR="007A38E5" w:rsidRPr="00D475FD">
        <w:rPr>
          <w:rFonts w:ascii="Palatino Linotype" w:hAnsi="Palatino Linotype" w:cstheme="minorHAnsi"/>
          <w:b/>
          <w:bCs/>
          <w:sz w:val="24"/>
          <w:szCs w:val="24"/>
        </w:rPr>
        <w:t>KPI</w:t>
      </w:r>
      <w:r w:rsidR="00E11D82" w:rsidRPr="00D475FD">
        <w:rPr>
          <w:rFonts w:ascii="Palatino Linotype" w:hAnsi="Palatino Linotype" w:cstheme="minorHAnsi"/>
          <w:sz w:val="24"/>
          <w:szCs w:val="24"/>
        </w:rPr>
        <w:t xml:space="preserve"> che sono stati monitorati:</w:t>
      </w:r>
    </w:p>
    <w:p w14:paraId="539259AE" w14:textId="7DB4E433" w:rsidR="00D63ECC" w:rsidRPr="00D475FD" w:rsidRDefault="00D63ECC" w:rsidP="00E11D82">
      <w:pPr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50"/>
        <w:gridCol w:w="5400"/>
      </w:tblGrid>
      <w:tr w:rsidR="00D63ECC" w:rsidRPr="00D475FD" w14:paraId="190A1451" w14:textId="77777777" w:rsidTr="00AA1E6F">
        <w:tc>
          <w:tcPr>
            <w:tcW w:w="3950" w:type="dxa"/>
            <w:shd w:val="clear" w:color="auto" w:fill="D5DCE4" w:themeFill="text2" w:themeFillTint="33"/>
          </w:tcPr>
          <w:p w14:paraId="5EDC9E59" w14:textId="77777777" w:rsidR="00D63ECC" w:rsidRPr="00D475FD" w:rsidRDefault="00D63ECC" w:rsidP="00FA18FC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D475FD">
              <w:rPr>
                <w:rFonts w:ascii="Palatino Linotype" w:hAnsi="Palatino Linotype" w:cstheme="minorHAnsi"/>
                <w:b/>
                <w:bCs/>
                <w:lang w:val="it-IT"/>
              </w:rPr>
              <w:t>Servizio Monitorato</w:t>
            </w:r>
          </w:p>
        </w:tc>
        <w:tc>
          <w:tcPr>
            <w:tcW w:w="5400" w:type="dxa"/>
            <w:shd w:val="clear" w:color="auto" w:fill="D5DCE4" w:themeFill="text2" w:themeFillTint="33"/>
          </w:tcPr>
          <w:p w14:paraId="50B3B3EB" w14:textId="77777777" w:rsidR="00D63ECC" w:rsidRPr="00D475FD" w:rsidRDefault="00D63ECC" w:rsidP="00FA18FC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  <w:lang w:val="it-IT"/>
              </w:rPr>
            </w:pPr>
            <w:r w:rsidRPr="00D475FD">
              <w:rPr>
                <w:rFonts w:ascii="Palatino Linotype" w:hAnsi="Palatino Linotype" w:cstheme="minorHAnsi"/>
                <w:b/>
                <w:bCs/>
                <w:lang w:val="it-IT"/>
              </w:rPr>
              <w:t>Descrizione Indicatore</w:t>
            </w:r>
          </w:p>
        </w:tc>
      </w:tr>
      <w:tr w:rsidR="00D63ECC" w:rsidRPr="00D475FD" w14:paraId="074B9A1D" w14:textId="77777777" w:rsidTr="00AA1E6F">
        <w:tc>
          <w:tcPr>
            <w:tcW w:w="3950" w:type="dxa"/>
            <w:vAlign w:val="center"/>
          </w:tcPr>
          <w:p w14:paraId="32BA2804" w14:textId="77777777" w:rsidR="00D63ECC" w:rsidRPr="00D475FD" w:rsidRDefault="00D63ECC" w:rsidP="004E670C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Servizi realizzativi</w:t>
            </w:r>
          </w:p>
        </w:tc>
        <w:tc>
          <w:tcPr>
            <w:tcW w:w="5400" w:type="dxa"/>
            <w:vAlign w:val="center"/>
          </w:tcPr>
          <w:p w14:paraId="2A9DEAF6" w14:textId="77777777" w:rsidR="00D63ECC" w:rsidRPr="00D475FD" w:rsidRDefault="00D63ECC" w:rsidP="00FD02E6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Rispetto di una scadenza temporale</w:t>
            </w:r>
          </w:p>
        </w:tc>
      </w:tr>
      <w:tr w:rsidR="00D63ECC" w:rsidRPr="00D475FD" w14:paraId="6D523DA2" w14:textId="77777777" w:rsidTr="00AA1E6F">
        <w:tc>
          <w:tcPr>
            <w:tcW w:w="3950" w:type="dxa"/>
            <w:vAlign w:val="center"/>
          </w:tcPr>
          <w:p w14:paraId="7A640D98" w14:textId="77777777" w:rsidR="00D63ECC" w:rsidRPr="00D475FD" w:rsidRDefault="00D63ECC" w:rsidP="004E670C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Servizio di gestione applicativi, alla gestione contenuti siti web e al servizio personalizzato di analisi, gestione e risoluzione di ticket</w:t>
            </w:r>
          </w:p>
        </w:tc>
        <w:tc>
          <w:tcPr>
            <w:tcW w:w="5400" w:type="dxa"/>
            <w:vAlign w:val="center"/>
          </w:tcPr>
          <w:p w14:paraId="6B6A6FDC" w14:textId="77777777" w:rsidR="00D63ECC" w:rsidRPr="00D475FD" w:rsidRDefault="00D63ECC" w:rsidP="00FD02E6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Tempestività di risoluzione delle richieste di assistenza</w:t>
            </w:r>
          </w:p>
        </w:tc>
      </w:tr>
      <w:tr w:rsidR="00D63ECC" w:rsidRPr="00D475FD" w14:paraId="4B7A987D" w14:textId="77777777" w:rsidTr="00AA1E6F">
        <w:tc>
          <w:tcPr>
            <w:tcW w:w="3950" w:type="dxa"/>
            <w:vAlign w:val="center"/>
          </w:tcPr>
          <w:p w14:paraId="071373A7" w14:textId="77777777" w:rsidR="00D63ECC" w:rsidRPr="00D475FD" w:rsidRDefault="00D63ECC" w:rsidP="00FD02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Servizio di manutenzione correttiva</w:t>
            </w:r>
          </w:p>
        </w:tc>
        <w:tc>
          <w:tcPr>
            <w:tcW w:w="5400" w:type="dxa"/>
            <w:vAlign w:val="center"/>
          </w:tcPr>
          <w:p w14:paraId="104894A1" w14:textId="77777777" w:rsidR="00D63ECC" w:rsidRPr="00D475FD" w:rsidRDefault="00D63ECC" w:rsidP="00FD02E6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Tempestività di Ripristino dell’Operatività in esercizio (per singolo intervento)</w:t>
            </w:r>
          </w:p>
        </w:tc>
      </w:tr>
      <w:tr w:rsidR="00D63ECC" w:rsidRPr="00D475FD" w14:paraId="4121DD05" w14:textId="77777777" w:rsidTr="00AA1E6F">
        <w:tc>
          <w:tcPr>
            <w:tcW w:w="3950" w:type="dxa"/>
            <w:vAlign w:val="center"/>
          </w:tcPr>
          <w:p w14:paraId="3938CF7F" w14:textId="77777777" w:rsidR="00D63ECC" w:rsidRPr="00D475FD" w:rsidRDefault="00D63ECC" w:rsidP="00FD02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Servizio tecnico-specialistico ed al servizio di supporto</w:t>
            </w:r>
          </w:p>
        </w:tc>
        <w:tc>
          <w:tcPr>
            <w:tcW w:w="5400" w:type="dxa"/>
            <w:vAlign w:val="center"/>
          </w:tcPr>
          <w:p w14:paraId="537D1E0B" w14:textId="77777777" w:rsidR="00D63ECC" w:rsidRPr="00D475FD" w:rsidRDefault="00D63ECC" w:rsidP="00FD02E6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Slittamento nella consegna di un prodotto e/o di un’attività del servizio Tecnico-Specialistici e/o di Supporto (</w:t>
            </w:r>
            <w:proofErr w:type="spellStart"/>
            <w:r w:rsidRPr="00D475FD">
              <w:rPr>
                <w:rFonts w:ascii="Palatino Linotype" w:hAnsi="Palatino Linotype" w:cstheme="minorHAnsi"/>
                <w:lang w:val="it-IT"/>
              </w:rPr>
              <w:t>Change</w:t>
            </w:r>
            <w:proofErr w:type="spellEnd"/>
            <w:r w:rsidRPr="00D475FD">
              <w:rPr>
                <w:rFonts w:ascii="Palatino Linotype" w:hAnsi="Palatino Linotype" w:cstheme="minorHAnsi"/>
                <w:lang w:val="it-IT"/>
              </w:rPr>
              <w:t xml:space="preserve"> Management, Demand Management, BPR, Supporto al ridisegno dei processi, formazione, analisi)</w:t>
            </w:r>
          </w:p>
          <w:p w14:paraId="01F65CD9" w14:textId="77777777" w:rsidR="00D63ECC" w:rsidRPr="00D475FD" w:rsidRDefault="00D63ECC" w:rsidP="00FD02E6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Inadempimento baseline correttiva</w:t>
            </w:r>
          </w:p>
          <w:p w14:paraId="6354A3EE" w14:textId="77777777" w:rsidR="00D63ECC" w:rsidRPr="00D475FD" w:rsidRDefault="00D63ECC" w:rsidP="00FD02E6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Slittamento della scadenza di una consegna</w:t>
            </w:r>
          </w:p>
        </w:tc>
      </w:tr>
      <w:tr w:rsidR="00D63ECC" w:rsidRPr="00D475FD" w14:paraId="70CD2C1D" w14:textId="77777777" w:rsidTr="00AA1E6F">
        <w:tc>
          <w:tcPr>
            <w:tcW w:w="3950" w:type="dxa"/>
            <w:vAlign w:val="center"/>
          </w:tcPr>
          <w:p w14:paraId="4B28E773" w14:textId="77777777" w:rsidR="00D63ECC" w:rsidRPr="00D475FD" w:rsidRDefault="00D63ECC" w:rsidP="00FD02E6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Governo della fornitura</w:t>
            </w:r>
          </w:p>
        </w:tc>
        <w:tc>
          <w:tcPr>
            <w:tcW w:w="5400" w:type="dxa"/>
            <w:vAlign w:val="center"/>
          </w:tcPr>
          <w:p w14:paraId="7B44106C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Personale inadeguato</w:t>
            </w:r>
          </w:p>
          <w:p w14:paraId="7D3703C7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Rilievi sulla fornitura</w:t>
            </w:r>
          </w:p>
          <w:p w14:paraId="4298F5EF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Tasso di Casi di test eseguiti in collaudo con esito negativo</w:t>
            </w:r>
          </w:p>
          <w:p w14:paraId="011FA96B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Difettosità in avvio in esercizio</w:t>
            </w:r>
          </w:p>
          <w:p w14:paraId="36B32E4F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Interventi di manutenzione correttiva recidivi</w:t>
            </w:r>
          </w:p>
          <w:p w14:paraId="13046EA2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Rispetto di una scadenza dei servizi di gestione</w:t>
            </w:r>
          </w:p>
          <w:p w14:paraId="2C150B4E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Disponibilità dei servizi di gestione del portafoglio applicativo</w:t>
            </w:r>
          </w:p>
          <w:p w14:paraId="3E5F69A1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Efficacia di un’attività del Servizio di Supporto (</w:t>
            </w:r>
            <w:proofErr w:type="spellStart"/>
            <w:r w:rsidRPr="00D475FD">
              <w:rPr>
                <w:rFonts w:ascii="Palatino Linotype" w:hAnsi="Palatino Linotype" w:cstheme="minorHAnsi"/>
                <w:lang w:val="it-IT"/>
              </w:rPr>
              <w:t>Change</w:t>
            </w:r>
            <w:proofErr w:type="spellEnd"/>
            <w:r w:rsidRPr="00D475FD">
              <w:rPr>
                <w:rFonts w:ascii="Palatino Linotype" w:hAnsi="Palatino Linotype" w:cstheme="minorHAnsi"/>
                <w:lang w:val="it-IT"/>
              </w:rPr>
              <w:t xml:space="preserve"> Management, Demand Management, BPR, Supporto al ridisegno dei </w:t>
            </w:r>
            <w:r w:rsidRPr="00D475FD">
              <w:rPr>
                <w:rFonts w:ascii="Palatino Linotype" w:hAnsi="Palatino Linotype" w:cstheme="minorHAnsi"/>
                <w:lang w:val="it-IT"/>
              </w:rPr>
              <w:lastRenderedPageBreak/>
              <w:t>processi, analisi)</w:t>
            </w:r>
          </w:p>
          <w:p w14:paraId="6D642B77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Soddisfazione dell’utenza nell’erogazione di formazione</w:t>
            </w:r>
          </w:p>
          <w:p w14:paraId="36E4563D" w14:textId="77777777" w:rsidR="00D63ECC" w:rsidRPr="00D475FD" w:rsidRDefault="00D63ECC" w:rsidP="00FD02E6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 w:cstheme="minorHAnsi"/>
                <w:lang w:val="it-IT"/>
              </w:rPr>
            </w:pPr>
            <w:r w:rsidRPr="00D475FD">
              <w:rPr>
                <w:rFonts w:ascii="Palatino Linotype" w:hAnsi="Palatino Linotype" w:cstheme="minorHAnsi"/>
                <w:lang w:val="it-IT"/>
              </w:rPr>
              <w:t>Rispetto di una scadenza contrattuale</w:t>
            </w:r>
          </w:p>
        </w:tc>
      </w:tr>
    </w:tbl>
    <w:p w14:paraId="78FE1A1F" w14:textId="77777777" w:rsidR="00AA1E6F" w:rsidRPr="00D475FD" w:rsidRDefault="00AA1E6F" w:rsidP="00AA1E6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Palatino Linotype" w:hAnsi="Palatino Linotype" w:cs="Calibri"/>
        </w:rPr>
      </w:pPr>
    </w:p>
    <w:p w14:paraId="4CA2BCBD" w14:textId="5D709C6C" w:rsidR="00AA1E6F" w:rsidRPr="00D475FD" w:rsidRDefault="00AA1E6F" w:rsidP="00AA1E6F">
      <w:pPr>
        <w:pStyle w:val="paragraph"/>
        <w:spacing w:before="0" w:beforeAutospacing="0" w:after="0" w:afterAutospacing="0"/>
        <w:jc w:val="both"/>
        <w:textAlignment w:val="baseline"/>
        <w:rPr>
          <w:rFonts w:ascii="Palatino Linotype" w:hAnsi="Palatino Linotype" w:cs="Segoe UI"/>
          <w:sz w:val="18"/>
          <w:szCs w:val="18"/>
        </w:rPr>
      </w:pPr>
      <w:r w:rsidRPr="00D475FD">
        <w:rPr>
          <w:rStyle w:val="normaltextrun"/>
          <w:rFonts w:ascii="Palatino Linotype" w:hAnsi="Palatino Linotype" w:cs="Calibri"/>
        </w:rPr>
        <w:t xml:space="preserve">Per visionare nel dettaglio i valori calcolati per ciascun indicatore oggetto di monitoraggio, si può fare riferimento al file </w:t>
      </w:r>
      <w:r w:rsidR="00D475FD" w:rsidRPr="00D475FD">
        <w:rPr>
          <w:rStyle w:val="normaltextrun"/>
          <w:rFonts w:ascii="Palatino Linotype" w:hAnsi="Palatino Linotype" w:cs="Calibri"/>
        </w:rPr>
        <w:t>Excel</w:t>
      </w:r>
      <w:r w:rsidRPr="00D475FD">
        <w:rPr>
          <w:rStyle w:val="normaltextrun"/>
          <w:rFonts w:ascii="Palatino Linotype" w:hAnsi="Palatino Linotype" w:cs="Calibri"/>
        </w:rPr>
        <w:t xml:space="preserve"> riportato di seguito. </w:t>
      </w:r>
      <w:r w:rsidRPr="00D475FD">
        <w:rPr>
          <w:rStyle w:val="eop"/>
          <w:rFonts w:ascii="Palatino Linotype" w:hAnsi="Palatino Linotype" w:cs="Calibri"/>
        </w:rPr>
        <w:t> </w:t>
      </w:r>
    </w:p>
    <w:p w14:paraId="525EB885" w14:textId="13133877" w:rsidR="00DE4EB7" w:rsidRPr="00D475FD" w:rsidRDefault="00DE4EB7" w:rsidP="000362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Palatino Linotype" w:hAnsi="Palatino Linotype" w:cs="Calibri"/>
          <w:color w:val="FF0000"/>
        </w:rPr>
      </w:pPr>
    </w:p>
    <w:p w14:paraId="70658259" w14:textId="4398E214" w:rsidR="008D594E" w:rsidRPr="00D475FD" w:rsidRDefault="009E2269" w:rsidP="000362C4">
      <w:pPr>
        <w:pStyle w:val="paragraph"/>
        <w:spacing w:before="0" w:beforeAutospacing="0" w:after="0" w:afterAutospacing="0"/>
        <w:jc w:val="both"/>
        <w:textAlignment w:val="baseline"/>
        <w:rPr>
          <w:rFonts w:ascii="Palatino Linotype" w:hAnsi="Palatino Linotype" w:cs="Segoe UI"/>
          <w:sz w:val="18"/>
          <w:szCs w:val="18"/>
        </w:rPr>
      </w:pPr>
      <w:r w:rsidRPr="00D475FD">
        <w:rPr>
          <w:rFonts w:ascii="Palatino Linotype" w:hAnsi="Palatino Linotype" w:cs="Segoe UI"/>
          <w:sz w:val="18"/>
          <w:szCs w:val="18"/>
        </w:rPr>
        <w:object w:dxaOrig="1539" w:dyaOrig="996" w14:anchorId="5B25E4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2" o:title=""/>
          </v:shape>
          <o:OLEObject Type="Embed" ProgID="Excel.Sheet.12" ShapeID="_x0000_i1025" DrawAspect="Icon" ObjectID="_1818925817" r:id="rId13"/>
        </w:object>
      </w:r>
    </w:p>
    <w:p w14:paraId="7CA66B69" w14:textId="17738E03" w:rsidR="00A068D4" w:rsidRPr="00D475FD" w:rsidRDefault="00A068D4" w:rsidP="00F12956">
      <w:pPr>
        <w:rPr>
          <w:rFonts w:ascii="Palatino Linotype" w:hAnsi="Palatino Linotype" w:cstheme="minorHAnsi"/>
        </w:rPr>
      </w:pPr>
    </w:p>
    <w:p w14:paraId="10BE7A17" w14:textId="263149AA" w:rsidR="00A068D4" w:rsidRPr="00D475FD" w:rsidRDefault="00A068D4" w:rsidP="00A068D4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1" w:name="_Toc193118003"/>
      <w:r w:rsidRPr="00D475FD">
        <w:rPr>
          <w:rFonts w:ascii="Palatino Linotype" w:eastAsia="Times New Roman" w:hAnsi="Palatino Linotype" w:cstheme="minorHAnsi"/>
          <w:b/>
          <w:bCs/>
          <w:color w:val="auto"/>
        </w:rPr>
        <w:t>Eventuali innovazioni tecnologiche</w:t>
      </w:r>
      <w:bookmarkEnd w:id="11"/>
    </w:p>
    <w:p w14:paraId="4BE3C916" w14:textId="77777777" w:rsidR="0066382A" w:rsidRPr="00D475FD" w:rsidRDefault="0066382A" w:rsidP="0066382A">
      <w:pPr>
        <w:rPr>
          <w:rFonts w:ascii="Palatino Linotype" w:hAnsi="Palatino Linotype"/>
        </w:rPr>
      </w:pPr>
    </w:p>
    <w:p w14:paraId="514EB95C" w14:textId="092BEFAA" w:rsidR="004738C4" w:rsidRPr="00D475FD" w:rsidRDefault="004A3C80" w:rsidP="004738C4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Di seguito vengono riportati gli u</w:t>
      </w:r>
      <w:r w:rsidR="004738C4" w:rsidRPr="00D475FD">
        <w:rPr>
          <w:rFonts w:ascii="Palatino Linotype" w:hAnsi="Palatino Linotype" w:cstheme="minorHAnsi"/>
          <w:sz w:val="24"/>
          <w:szCs w:val="24"/>
        </w:rPr>
        <w:t>lteriori vincoli previsti contrattualmente:</w:t>
      </w:r>
    </w:p>
    <w:p w14:paraId="01DFECFC" w14:textId="7AD033EB" w:rsidR="00CA3460" w:rsidRPr="00D475FD" w:rsidRDefault="00F01246" w:rsidP="00C20E4A">
      <w:pPr>
        <w:pStyle w:val="Paragrafoelenco"/>
        <w:numPr>
          <w:ilvl w:val="0"/>
          <w:numId w:val="5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l’</w:t>
      </w:r>
      <w:r w:rsidR="00A10AED" w:rsidRPr="00D475FD">
        <w:rPr>
          <w:rFonts w:ascii="Palatino Linotype" w:hAnsi="Palatino Linotype" w:cstheme="minorHAnsi"/>
          <w:sz w:val="24"/>
          <w:szCs w:val="24"/>
        </w:rPr>
        <w:t>Amministrazione si riserva il diritto di modificare le dimensioni massime dei singoli servizi</w:t>
      </w:r>
      <w:r w:rsidR="00222025" w:rsidRPr="00D475FD">
        <w:rPr>
          <w:rFonts w:ascii="Palatino Linotype" w:hAnsi="Palatino Linotype" w:cstheme="minorHAnsi"/>
          <w:sz w:val="24"/>
          <w:szCs w:val="24"/>
        </w:rPr>
        <w:t xml:space="preserve">, trasferendo </w:t>
      </w:r>
      <w:r w:rsidR="00B773CE" w:rsidRPr="00D475FD">
        <w:rPr>
          <w:rFonts w:ascii="Palatino Linotype" w:hAnsi="Palatino Linotype" w:cstheme="minorHAnsi"/>
          <w:sz w:val="24"/>
          <w:szCs w:val="24"/>
        </w:rPr>
        <w:t xml:space="preserve">risorse dedicate ad uno o più servizi </w:t>
      </w:r>
      <w:r w:rsidR="00A10AED" w:rsidRPr="00D475FD">
        <w:rPr>
          <w:rFonts w:ascii="Palatino Linotype" w:hAnsi="Palatino Linotype" w:cstheme="minorHAnsi"/>
          <w:sz w:val="24"/>
          <w:szCs w:val="24"/>
        </w:rPr>
        <w:t>su altri, previa comunicazione al Fornitore e, comunque, entro il limite del corrispettivo contrattuale complessivo</w:t>
      </w:r>
      <w:r w:rsidR="00E7771A" w:rsidRPr="00D475FD">
        <w:rPr>
          <w:rFonts w:ascii="Palatino Linotype" w:hAnsi="Palatino Linotype" w:cstheme="minorHAnsi"/>
          <w:sz w:val="24"/>
          <w:szCs w:val="24"/>
        </w:rPr>
        <w:t>;</w:t>
      </w:r>
    </w:p>
    <w:p w14:paraId="433C3DB2" w14:textId="6568171E" w:rsidR="00827884" w:rsidRPr="00D475FD" w:rsidRDefault="00E7771A" w:rsidP="00C20E4A">
      <w:pPr>
        <w:pStyle w:val="Paragrafoelenco"/>
        <w:numPr>
          <w:ilvl w:val="0"/>
          <w:numId w:val="5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qualora </w:t>
      </w:r>
      <w:r w:rsidR="00827884" w:rsidRPr="00D475FD">
        <w:rPr>
          <w:rFonts w:ascii="Palatino Linotype" w:hAnsi="Palatino Linotype" w:cstheme="minorHAnsi"/>
          <w:sz w:val="24"/>
          <w:szCs w:val="24"/>
        </w:rPr>
        <w:t xml:space="preserve">l’Amministrazione </w:t>
      </w:r>
      <w:r w:rsidRPr="00D475FD">
        <w:rPr>
          <w:rFonts w:ascii="Palatino Linotype" w:hAnsi="Palatino Linotype" w:cstheme="minorHAnsi"/>
          <w:sz w:val="24"/>
          <w:szCs w:val="24"/>
        </w:rPr>
        <w:t xml:space="preserve">ritenga </w:t>
      </w:r>
      <w:r w:rsidR="00827884" w:rsidRPr="00D475FD">
        <w:rPr>
          <w:rFonts w:ascii="Palatino Linotype" w:hAnsi="Palatino Linotype" w:cstheme="minorHAnsi"/>
          <w:sz w:val="24"/>
          <w:szCs w:val="24"/>
        </w:rPr>
        <w:t xml:space="preserve">una figura professionale proposta non idonea allo svolgimento dell’attività contrattuale, </w:t>
      </w:r>
      <w:r w:rsidRPr="00D475FD">
        <w:rPr>
          <w:rFonts w:ascii="Palatino Linotype" w:hAnsi="Palatino Linotype" w:cstheme="minorHAnsi"/>
          <w:sz w:val="24"/>
          <w:szCs w:val="24"/>
        </w:rPr>
        <w:t>ne d</w:t>
      </w:r>
      <w:r w:rsidR="00827884" w:rsidRPr="00D475FD">
        <w:rPr>
          <w:rFonts w:ascii="Palatino Linotype" w:hAnsi="Palatino Linotype" w:cstheme="minorHAnsi"/>
          <w:sz w:val="24"/>
          <w:szCs w:val="24"/>
        </w:rPr>
        <w:t>arà comunicazione al Fornitore</w:t>
      </w:r>
      <w:r w:rsidR="00DF3581" w:rsidRPr="00D475FD">
        <w:rPr>
          <w:rFonts w:ascii="Palatino Linotype" w:hAnsi="Palatino Linotype" w:cstheme="minorHAnsi"/>
          <w:sz w:val="24"/>
          <w:szCs w:val="24"/>
        </w:rPr>
        <w:t xml:space="preserve">; quest’ultimo </w:t>
      </w:r>
      <w:r w:rsidR="006A3DF4" w:rsidRPr="00D475FD">
        <w:rPr>
          <w:rFonts w:ascii="Palatino Linotype" w:hAnsi="Palatino Linotype" w:cstheme="minorHAnsi"/>
          <w:sz w:val="24"/>
          <w:szCs w:val="24"/>
        </w:rPr>
        <w:t xml:space="preserve">procederà a sottoporre una </w:t>
      </w:r>
      <w:r w:rsidR="00827884" w:rsidRPr="00D475FD">
        <w:rPr>
          <w:rFonts w:ascii="Palatino Linotype" w:hAnsi="Palatino Linotype" w:cstheme="minorHAnsi"/>
          <w:sz w:val="24"/>
          <w:szCs w:val="24"/>
        </w:rPr>
        <w:t xml:space="preserve">nuova proposta entro il termine previsto dal </w:t>
      </w:r>
      <w:r w:rsidR="00063EE6" w:rsidRPr="00D475FD">
        <w:rPr>
          <w:rFonts w:ascii="Palatino Linotype" w:hAnsi="Palatino Linotype" w:cstheme="minorHAnsi"/>
          <w:sz w:val="24"/>
          <w:szCs w:val="24"/>
        </w:rPr>
        <w:t>contratto e sulla base della data di comunicazione inviata dall’Amministrazione;</w:t>
      </w:r>
    </w:p>
    <w:p w14:paraId="06070DCD" w14:textId="4925BECA" w:rsidR="00827884" w:rsidRPr="00D475FD" w:rsidRDefault="00C24D19" w:rsidP="00C20E4A">
      <w:pPr>
        <w:pStyle w:val="Paragrafoelenco"/>
        <w:numPr>
          <w:ilvl w:val="0"/>
          <w:numId w:val="5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l’Amministrazione, al fine di ottenere la massima qualità professionale del servizio reso, si riserva la facoltà di verificare, in ogni momento dell’esecuzione del Contratto, la corrispondenza della qualità del servizio e delle figure professionali effettivamente impiegate </w:t>
      </w:r>
      <w:r w:rsidR="00AC7C85" w:rsidRPr="00D475FD">
        <w:rPr>
          <w:rFonts w:ascii="Palatino Linotype" w:hAnsi="Palatino Linotype" w:cstheme="minorHAnsi"/>
          <w:sz w:val="24"/>
          <w:szCs w:val="24"/>
        </w:rPr>
        <w:t xml:space="preserve">dal fornitore </w:t>
      </w:r>
      <w:r w:rsidRPr="00D475FD">
        <w:rPr>
          <w:rFonts w:ascii="Palatino Linotype" w:hAnsi="Palatino Linotype" w:cstheme="minorHAnsi"/>
          <w:sz w:val="24"/>
          <w:szCs w:val="24"/>
        </w:rPr>
        <w:t>rispetto a quanto indicato negli Allegati all’Accordo Quadro e al Contratto</w:t>
      </w:r>
      <w:r w:rsidR="00AC7C85" w:rsidRPr="00D475FD">
        <w:rPr>
          <w:rFonts w:ascii="Palatino Linotype" w:hAnsi="Palatino Linotype" w:cstheme="minorHAnsi"/>
          <w:sz w:val="24"/>
          <w:szCs w:val="24"/>
        </w:rPr>
        <w:t>;</w:t>
      </w:r>
    </w:p>
    <w:p w14:paraId="48152FDD" w14:textId="31B1F28E" w:rsidR="00AC7C85" w:rsidRPr="00D475FD" w:rsidRDefault="00AC7C85" w:rsidP="00C20E4A">
      <w:pPr>
        <w:pStyle w:val="Paragrafoelenco"/>
        <w:numPr>
          <w:ilvl w:val="0"/>
          <w:numId w:val="5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nel caso in cui il fornitore </w:t>
      </w:r>
      <w:r w:rsidR="00BD75BD" w:rsidRPr="00D475FD">
        <w:rPr>
          <w:rFonts w:ascii="Palatino Linotype" w:hAnsi="Palatino Linotype" w:cstheme="minorHAnsi"/>
          <w:sz w:val="24"/>
          <w:szCs w:val="24"/>
        </w:rPr>
        <w:t>proced</w:t>
      </w:r>
      <w:r w:rsidR="00D64EDB" w:rsidRPr="00D475FD">
        <w:rPr>
          <w:rFonts w:ascii="Palatino Linotype" w:hAnsi="Palatino Linotype" w:cstheme="minorHAnsi"/>
          <w:sz w:val="24"/>
          <w:szCs w:val="24"/>
        </w:rPr>
        <w:t>a</w:t>
      </w:r>
      <w:r w:rsidR="00BD75BD" w:rsidRPr="00D475FD">
        <w:rPr>
          <w:rFonts w:ascii="Palatino Linotype" w:hAnsi="Palatino Linotype" w:cstheme="minorHAnsi"/>
          <w:sz w:val="24"/>
          <w:szCs w:val="24"/>
        </w:rPr>
        <w:t xml:space="preserve"> alla sostituzione di una risorsa senza la preventiva autorizzazione dall’Amministrazione, quest’ultima </w:t>
      </w:r>
      <w:r w:rsidR="008D6B07" w:rsidRPr="00D475FD">
        <w:rPr>
          <w:rFonts w:ascii="Palatino Linotype" w:hAnsi="Palatino Linotype" w:cstheme="minorHAnsi"/>
          <w:sz w:val="24"/>
          <w:szCs w:val="24"/>
        </w:rPr>
        <w:t>avrà diritto di riservarsi nell’applicazione della</w:t>
      </w:r>
      <w:r w:rsidR="00C20E4A" w:rsidRPr="00D475FD">
        <w:rPr>
          <w:rFonts w:ascii="Palatino Linotype" w:hAnsi="Palatino Linotype" w:cstheme="minorHAnsi"/>
          <w:sz w:val="24"/>
          <w:szCs w:val="24"/>
        </w:rPr>
        <w:t xml:space="preserve"> penale;</w:t>
      </w:r>
      <w:r w:rsidRPr="00D475FD">
        <w:rPr>
          <w:rFonts w:ascii="Palatino Linotype" w:hAnsi="Palatino Linotype" w:cstheme="minorHAnsi"/>
          <w:sz w:val="24"/>
          <w:szCs w:val="24"/>
        </w:rPr>
        <w:t xml:space="preserve"> </w:t>
      </w:r>
    </w:p>
    <w:p w14:paraId="0299B88B" w14:textId="78A7D354" w:rsidR="003C54C2" w:rsidRPr="00D475FD" w:rsidRDefault="006C6388" w:rsidP="00C20E4A">
      <w:pPr>
        <w:pStyle w:val="Paragrafoelenco"/>
        <w:numPr>
          <w:ilvl w:val="0"/>
          <w:numId w:val="5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i</w:t>
      </w:r>
      <w:r w:rsidR="00FB30BD" w:rsidRPr="00D475FD">
        <w:rPr>
          <w:rFonts w:ascii="Palatino Linotype" w:hAnsi="Palatino Linotype" w:cstheme="minorHAnsi"/>
          <w:sz w:val="24"/>
          <w:szCs w:val="24"/>
        </w:rPr>
        <w:t>l</w:t>
      </w:r>
      <w:r w:rsidR="003C54C2" w:rsidRPr="00D475FD">
        <w:rPr>
          <w:rFonts w:ascii="Palatino Linotype" w:hAnsi="Palatino Linotype" w:cstheme="minorHAnsi"/>
          <w:sz w:val="24"/>
          <w:szCs w:val="24"/>
        </w:rPr>
        <w:t xml:space="preserve"> </w:t>
      </w:r>
      <w:r w:rsidR="00FB30BD" w:rsidRPr="00D475FD">
        <w:rPr>
          <w:rFonts w:ascii="Palatino Linotype" w:hAnsi="Palatino Linotype" w:cstheme="minorHAnsi"/>
          <w:sz w:val="24"/>
          <w:szCs w:val="24"/>
        </w:rPr>
        <w:t>f</w:t>
      </w:r>
      <w:r w:rsidR="003C54C2" w:rsidRPr="00D475FD">
        <w:rPr>
          <w:rFonts w:ascii="Palatino Linotype" w:hAnsi="Palatino Linotype" w:cstheme="minorHAnsi"/>
          <w:sz w:val="24"/>
          <w:szCs w:val="24"/>
        </w:rPr>
        <w:t>ornitore si impegna nei tempi e nelle modalità indicati nel Capitolato tecnico</w:t>
      </w:r>
      <w:r w:rsidR="008D6B07" w:rsidRPr="00D475FD">
        <w:rPr>
          <w:rFonts w:ascii="Palatino Linotype" w:hAnsi="Palatino Linotype" w:cstheme="minorHAnsi"/>
          <w:sz w:val="24"/>
          <w:szCs w:val="24"/>
        </w:rPr>
        <w:t xml:space="preserve"> a</w:t>
      </w:r>
      <w:r w:rsidR="003C54C2" w:rsidRPr="00D475FD">
        <w:rPr>
          <w:rFonts w:ascii="Palatino Linotype" w:hAnsi="Palatino Linotype" w:cstheme="minorHAnsi"/>
          <w:sz w:val="24"/>
          <w:szCs w:val="24"/>
        </w:rPr>
        <w:t xml:space="preserve"> consegnare i curricula dei referenti e delle figure professionali migliorate in Offerta Tecnica con le certificazioni richieste e/o offerte nel rispetto dei termini previsti nel Capitolato tecnico. Il Fornitore si obbliga, altresì, a consegnare i curricula delle altre figure professionali impegnate nell’esecuzione del contratto, ove l’Amministrazione Contraente ne faccia richiesta, unitamente alle certificazioni dichiarate in sede di offerta tecnica</w:t>
      </w:r>
      <w:r w:rsidRPr="00D475FD">
        <w:rPr>
          <w:rFonts w:ascii="Palatino Linotype" w:hAnsi="Palatino Linotype" w:cstheme="minorHAnsi"/>
          <w:sz w:val="24"/>
          <w:szCs w:val="24"/>
        </w:rPr>
        <w:t>;</w:t>
      </w:r>
    </w:p>
    <w:p w14:paraId="59782237" w14:textId="3985619B" w:rsidR="006C6388" w:rsidRPr="00D475FD" w:rsidRDefault="006C6388" w:rsidP="00C20E4A">
      <w:pPr>
        <w:pStyle w:val="Paragrafoelenco"/>
        <w:numPr>
          <w:ilvl w:val="0"/>
          <w:numId w:val="5"/>
        </w:num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 xml:space="preserve">il Fornitore, nel caso in cui debba provvedere alla sostituzione di una risorsa coinvolta </w:t>
      </w:r>
      <w:r w:rsidRPr="00D475FD">
        <w:rPr>
          <w:rFonts w:ascii="Palatino Linotype" w:hAnsi="Palatino Linotype" w:cstheme="minorHAnsi"/>
          <w:sz w:val="24"/>
          <w:szCs w:val="24"/>
        </w:rPr>
        <w:lastRenderedPageBreak/>
        <w:t xml:space="preserve">nella esecuzione delle prestazioni contrattuali, dovrà </w:t>
      </w:r>
      <w:r w:rsidR="008E29EA" w:rsidRPr="00D475FD">
        <w:rPr>
          <w:rFonts w:ascii="Palatino Linotype" w:hAnsi="Palatino Linotype" w:cstheme="minorHAnsi"/>
          <w:sz w:val="24"/>
          <w:szCs w:val="24"/>
        </w:rPr>
        <w:t>ri</w:t>
      </w:r>
      <w:r w:rsidRPr="00D475FD">
        <w:rPr>
          <w:rFonts w:ascii="Palatino Linotype" w:hAnsi="Palatino Linotype" w:cstheme="minorHAnsi"/>
          <w:sz w:val="24"/>
          <w:szCs w:val="24"/>
        </w:rPr>
        <w:t>chiedere l’autorizzazione all’Amministrazione Contraente</w:t>
      </w:r>
      <w:r w:rsidR="008E29EA" w:rsidRPr="00D475FD">
        <w:rPr>
          <w:rFonts w:ascii="Palatino Linotype" w:hAnsi="Palatino Linotype" w:cstheme="minorHAnsi"/>
          <w:sz w:val="24"/>
          <w:szCs w:val="24"/>
        </w:rPr>
        <w:t>,</w:t>
      </w:r>
      <w:r w:rsidRPr="00D475FD">
        <w:rPr>
          <w:rFonts w:ascii="Palatino Linotype" w:hAnsi="Palatino Linotype" w:cstheme="minorHAnsi"/>
          <w:sz w:val="24"/>
          <w:szCs w:val="24"/>
        </w:rPr>
        <w:t xml:space="preserve"> comunicandole la motivazione e consegnandole, con un preavviso di almeno </w:t>
      </w:r>
      <w:proofErr w:type="gramStart"/>
      <w:r w:rsidRPr="00D475FD">
        <w:rPr>
          <w:rFonts w:ascii="Palatino Linotype" w:hAnsi="Palatino Linotype" w:cstheme="minorHAnsi"/>
          <w:sz w:val="24"/>
          <w:szCs w:val="24"/>
        </w:rPr>
        <w:t>10</w:t>
      </w:r>
      <w:proofErr w:type="gramEnd"/>
      <w:r w:rsidRPr="00D475FD">
        <w:rPr>
          <w:rFonts w:ascii="Palatino Linotype" w:hAnsi="Palatino Linotype" w:cstheme="minorHAnsi"/>
          <w:sz w:val="24"/>
          <w:szCs w:val="24"/>
        </w:rPr>
        <w:t xml:space="preserve"> giorni solari, il curriculum della nuova figura professionale.</w:t>
      </w:r>
    </w:p>
    <w:p w14:paraId="471BCE19" w14:textId="0E4FAEC9" w:rsidR="00A068D4" w:rsidRPr="00D475FD" w:rsidRDefault="00A068D4" w:rsidP="00F12956">
      <w:pPr>
        <w:rPr>
          <w:rFonts w:ascii="Palatino Linotype" w:hAnsi="Palatino Linotype" w:cstheme="minorHAnsi"/>
        </w:rPr>
      </w:pPr>
    </w:p>
    <w:p w14:paraId="21F1208D" w14:textId="7CA63205" w:rsidR="00BF55F6" w:rsidRPr="00D475FD" w:rsidRDefault="00BF55F6" w:rsidP="00FA18FC">
      <w:pPr>
        <w:pStyle w:val="Titolo3"/>
        <w:numPr>
          <w:ilvl w:val="1"/>
          <w:numId w:val="1"/>
        </w:numPr>
        <w:tabs>
          <w:tab w:val="left" w:pos="9072"/>
        </w:tabs>
        <w:spacing w:before="22"/>
        <w:ind w:left="432" w:hanging="432"/>
        <w:jc w:val="both"/>
        <w:rPr>
          <w:rFonts w:ascii="Palatino Linotype" w:eastAsia="Times New Roman" w:hAnsi="Palatino Linotype" w:cstheme="minorHAnsi"/>
          <w:b/>
          <w:bCs/>
          <w:color w:val="auto"/>
        </w:rPr>
      </w:pPr>
      <w:bookmarkStart w:id="12" w:name="_Toc193118004"/>
      <w:r w:rsidRPr="00D475FD">
        <w:rPr>
          <w:rFonts w:ascii="Palatino Linotype" w:eastAsia="Times New Roman" w:hAnsi="Palatino Linotype" w:cstheme="minorHAnsi"/>
          <w:b/>
          <w:bCs/>
          <w:color w:val="auto"/>
        </w:rPr>
        <w:t>Aspetti della eventuale non conformità</w:t>
      </w:r>
      <w:bookmarkEnd w:id="12"/>
    </w:p>
    <w:p w14:paraId="0ED9F2A4" w14:textId="77777777" w:rsidR="0066382A" w:rsidRPr="00D475FD" w:rsidRDefault="0066382A" w:rsidP="0066382A">
      <w:pPr>
        <w:rPr>
          <w:rFonts w:ascii="Palatino Linotype" w:hAnsi="Palatino Linotype"/>
        </w:rPr>
      </w:pPr>
    </w:p>
    <w:p w14:paraId="05758DD6" w14:textId="03EE2FD0" w:rsidR="0037272F" w:rsidRPr="00D475FD" w:rsidRDefault="0037272F" w:rsidP="0037272F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475FD">
        <w:rPr>
          <w:rFonts w:ascii="Palatino Linotype" w:hAnsi="Palatino Linotype" w:cstheme="minorHAnsi"/>
          <w:sz w:val="24"/>
          <w:szCs w:val="24"/>
        </w:rPr>
        <w:t>Durante il periodo dell’esecuzione contrattuale</w:t>
      </w:r>
      <w:r w:rsidR="002C532D" w:rsidRPr="00D475FD">
        <w:rPr>
          <w:rFonts w:ascii="Palatino Linotype" w:hAnsi="Palatino Linotype" w:cstheme="minorHAnsi"/>
          <w:sz w:val="24"/>
          <w:szCs w:val="24"/>
        </w:rPr>
        <w:t>,</w:t>
      </w:r>
      <w:r w:rsidRPr="00D475FD">
        <w:rPr>
          <w:rFonts w:ascii="Palatino Linotype" w:hAnsi="Palatino Linotype" w:cstheme="minorHAnsi"/>
          <w:sz w:val="24"/>
          <w:szCs w:val="24"/>
        </w:rPr>
        <w:t xml:space="preserve"> nell’anno 202</w:t>
      </w:r>
      <w:r w:rsidR="00E7505A" w:rsidRPr="00D475FD">
        <w:rPr>
          <w:rFonts w:ascii="Palatino Linotype" w:hAnsi="Palatino Linotype" w:cstheme="minorHAnsi"/>
          <w:sz w:val="24"/>
          <w:szCs w:val="24"/>
        </w:rPr>
        <w:t>4</w:t>
      </w:r>
      <w:r w:rsidRPr="00D475FD">
        <w:rPr>
          <w:rFonts w:ascii="Palatino Linotype" w:hAnsi="Palatino Linotype" w:cstheme="minorHAnsi"/>
          <w:sz w:val="24"/>
          <w:szCs w:val="24"/>
        </w:rPr>
        <w:t>, nonché nell’arco temporale oggetto di monitoraggio, non sono stare rilevate non conformità e, pertanto, non sono state implementate azioni correttive.</w:t>
      </w:r>
    </w:p>
    <w:p w14:paraId="09F0B5DD" w14:textId="34DCB967" w:rsidR="000F58E5" w:rsidRPr="00D475FD" w:rsidRDefault="000F58E5" w:rsidP="00325689">
      <w:pPr>
        <w:jc w:val="both"/>
        <w:rPr>
          <w:rFonts w:ascii="Palatino Linotype" w:hAnsi="Palatino Linotype" w:cstheme="minorHAnsi"/>
          <w:sz w:val="24"/>
          <w:szCs w:val="24"/>
        </w:rPr>
      </w:pPr>
    </w:p>
    <w:sectPr w:rsidR="000F58E5" w:rsidRPr="00D475FD" w:rsidSect="006B5A4E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6247A" w14:textId="77777777" w:rsidR="001F31E2" w:rsidRDefault="001F31E2" w:rsidP="00F53C03">
      <w:r>
        <w:separator/>
      </w:r>
    </w:p>
  </w:endnote>
  <w:endnote w:type="continuationSeparator" w:id="0">
    <w:p w14:paraId="09FE393E" w14:textId="77777777" w:rsidR="001F31E2" w:rsidRDefault="001F31E2" w:rsidP="00F53C03">
      <w:r>
        <w:continuationSeparator/>
      </w:r>
    </w:p>
  </w:endnote>
  <w:endnote w:type="continuationNotice" w:id="1">
    <w:p w14:paraId="459BD69A" w14:textId="77777777" w:rsidR="001F31E2" w:rsidRDefault="001F31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713A4" w14:textId="7CC089D5" w:rsidR="00A63947" w:rsidRDefault="00A63947">
    <w:pPr>
      <w:pStyle w:val="Pidipagina"/>
    </w:pPr>
  </w:p>
  <w:p w14:paraId="21491094" w14:textId="77777777" w:rsidR="00A63947" w:rsidRDefault="00A63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52A3" w14:textId="77777777" w:rsidR="001F31E2" w:rsidRDefault="001F31E2" w:rsidP="00F53C03">
      <w:r>
        <w:separator/>
      </w:r>
    </w:p>
  </w:footnote>
  <w:footnote w:type="continuationSeparator" w:id="0">
    <w:p w14:paraId="7C49B349" w14:textId="77777777" w:rsidR="001F31E2" w:rsidRDefault="001F31E2" w:rsidP="00F53C03">
      <w:r>
        <w:continuationSeparator/>
      </w:r>
    </w:p>
  </w:footnote>
  <w:footnote w:type="continuationNotice" w:id="1">
    <w:p w14:paraId="0ABEDA22" w14:textId="77777777" w:rsidR="001F31E2" w:rsidRDefault="001F31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41FC1"/>
    <w:multiLevelType w:val="hybridMultilevel"/>
    <w:tmpl w:val="E6BA2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508F4"/>
    <w:multiLevelType w:val="hybridMultilevel"/>
    <w:tmpl w:val="53963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A4758"/>
    <w:multiLevelType w:val="hybridMultilevel"/>
    <w:tmpl w:val="569CF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27DC5"/>
    <w:multiLevelType w:val="hybridMultilevel"/>
    <w:tmpl w:val="D58C0AEA"/>
    <w:lvl w:ilvl="0" w:tplc="36885A3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2C4003"/>
    <w:multiLevelType w:val="hybridMultilevel"/>
    <w:tmpl w:val="C8AAB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C5E"/>
    <w:multiLevelType w:val="hybridMultilevel"/>
    <w:tmpl w:val="09D22D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 w15:restartNumberingAfterBreak="0">
    <w:nsid w:val="457F5DAE"/>
    <w:multiLevelType w:val="hybridMultilevel"/>
    <w:tmpl w:val="491AF152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61D7"/>
    <w:multiLevelType w:val="hybridMultilevel"/>
    <w:tmpl w:val="1B3E9A0A"/>
    <w:lvl w:ilvl="0" w:tplc="50DEE0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C6CD2"/>
    <w:multiLevelType w:val="hybridMultilevel"/>
    <w:tmpl w:val="E7880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943CD"/>
    <w:multiLevelType w:val="hybridMultilevel"/>
    <w:tmpl w:val="7E0E8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673DD"/>
    <w:multiLevelType w:val="hybridMultilevel"/>
    <w:tmpl w:val="725E1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DD5CA5"/>
    <w:multiLevelType w:val="hybridMultilevel"/>
    <w:tmpl w:val="D6563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4347A"/>
    <w:multiLevelType w:val="hybridMultilevel"/>
    <w:tmpl w:val="8C5E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217BD"/>
    <w:multiLevelType w:val="hybridMultilevel"/>
    <w:tmpl w:val="BFDCDA68"/>
    <w:lvl w:ilvl="0" w:tplc="36885A3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47828"/>
    <w:multiLevelType w:val="multilevel"/>
    <w:tmpl w:val="255EC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75E228B9"/>
    <w:multiLevelType w:val="hybridMultilevel"/>
    <w:tmpl w:val="D138C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A53CF"/>
    <w:multiLevelType w:val="hybridMultilevel"/>
    <w:tmpl w:val="94C02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453348">
    <w:abstractNumId w:val="18"/>
  </w:num>
  <w:num w:numId="2" w16cid:durableId="730468044">
    <w:abstractNumId w:val="16"/>
  </w:num>
  <w:num w:numId="3" w16cid:durableId="1397628767">
    <w:abstractNumId w:val="6"/>
  </w:num>
  <w:num w:numId="4" w16cid:durableId="2025861099">
    <w:abstractNumId w:val="13"/>
  </w:num>
  <w:num w:numId="5" w16cid:durableId="67192426">
    <w:abstractNumId w:val="4"/>
  </w:num>
  <w:num w:numId="6" w16cid:durableId="651446131">
    <w:abstractNumId w:val="10"/>
  </w:num>
  <w:num w:numId="7" w16cid:durableId="537207877">
    <w:abstractNumId w:val="9"/>
  </w:num>
  <w:num w:numId="8" w16cid:durableId="1766222683">
    <w:abstractNumId w:val="8"/>
  </w:num>
  <w:num w:numId="9" w16cid:durableId="419300383">
    <w:abstractNumId w:val="15"/>
  </w:num>
  <w:num w:numId="10" w16cid:durableId="773593618">
    <w:abstractNumId w:val="14"/>
  </w:num>
  <w:num w:numId="11" w16cid:durableId="1433744476">
    <w:abstractNumId w:val="19"/>
  </w:num>
  <w:num w:numId="12" w16cid:durableId="390156048">
    <w:abstractNumId w:val="11"/>
  </w:num>
  <w:num w:numId="13" w16cid:durableId="148599305">
    <w:abstractNumId w:val="0"/>
  </w:num>
  <w:num w:numId="14" w16cid:durableId="1174875300">
    <w:abstractNumId w:val="5"/>
  </w:num>
  <w:num w:numId="15" w16cid:durableId="670062884">
    <w:abstractNumId w:val="20"/>
  </w:num>
  <w:num w:numId="16" w16cid:durableId="1210606142">
    <w:abstractNumId w:val="2"/>
  </w:num>
  <w:num w:numId="17" w16cid:durableId="2085372717">
    <w:abstractNumId w:val="12"/>
  </w:num>
  <w:num w:numId="18" w16cid:durableId="1107966439">
    <w:abstractNumId w:val="1"/>
  </w:num>
  <w:num w:numId="19" w16cid:durableId="1748335558">
    <w:abstractNumId w:val="3"/>
  </w:num>
  <w:num w:numId="20" w16cid:durableId="542639466">
    <w:abstractNumId w:val="17"/>
  </w:num>
  <w:num w:numId="21" w16cid:durableId="2432706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57"/>
    <w:rsid w:val="0000165D"/>
    <w:rsid w:val="00002951"/>
    <w:rsid w:val="000102AD"/>
    <w:rsid w:val="000103B4"/>
    <w:rsid w:val="00025D91"/>
    <w:rsid w:val="00026430"/>
    <w:rsid w:val="000316DC"/>
    <w:rsid w:val="0003180B"/>
    <w:rsid w:val="000362C4"/>
    <w:rsid w:val="00036EA8"/>
    <w:rsid w:val="0003790D"/>
    <w:rsid w:val="000416F6"/>
    <w:rsid w:val="00042111"/>
    <w:rsid w:val="00042BFC"/>
    <w:rsid w:val="00046D09"/>
    <w:rsid w:val="00056FD7"/>
    <w:rsid w:val="0006254C"/>
    <w:rsid w:val="00063EE6"/>
    <w:rsid w:val="00072D33"/>
    <w:rsid w:val="00072E84"/>
    <w:rsid w:val="000746BA"/>
    <w:rsid w:val="0007484A"/>
    <w:rsid w:val="00074F23"/>
    <w:rsid w:val="00074F9F"/>
    <w:rsid w:val="00086A08"/>
    <w:rsid w:val="00095C08"/>
    <w:rsid w:val="00096066"/>
    <w:rsid w:val="000A3ED9"/>
    <w:rsid w:val="000A485A"/>
    <w:rsid w:val="000A5C48"/>
    <w:rsid w:val="000B2760"/>
    <w:rsid w:val="000B5D5C"/>
    <w:rsid w:val="000C3298"/>
    <w:rsid w:val="000C3772"/>
    <w:rsid w:val="000C4192"/>
    <w:rsid w:val="000C6A25"/>
    <w:rsid w:val="000C6A74"/>
    <w:rsid w:val="000D0AEE"/>
    <w:rsid w:val="000D6094"/>
    <w:rsid w:val="000E307B"/>
    <w:rsid w:val="000E7C6E"/>
    <w:rsid w:val="000F23B8"/>
    <w:rsid w:val="000F2BE8"/>
    <w:rsid w:val="000F58E5"/>
    <w:rsid w:val="00110088"/>
    <w:rsid w:val="001119BF"/>
    <w:rsid w:val="00116D5C"/>
    <w:rsid w:val="00117A66"/>
    <w:rsid w:val="0012067C"/>
    <w:rsid w:val="00122818"/>
    <w:rsid w:val="00134A6C"/>
    <w:rsid w:val="00145BC2"/>
    <w:rsid w:val="00150C95"/>
    <w:rsid w:val="001515EC"/>
    <w:rsid w:val="001542C2"/>
    <w:rsid w:val="00155D84"/>
    <w:rsid w:val="00157FF1"/>
    <w:rsid w:val="00160547"/>
    <w:rsid w:val="0016156C"/>
    <w:rsid w:val="00170441"/>
    <w:rsid w:val="00175989"/>
    <w:rsid w:val="00182A19"/>
    <w:rsid w:val="00184BB4"/>
    <w:rsid w:val="00193F92"/>
    <w:rsid w:val="00197C82"/>
    <w:rsid w:val="001A1944"/>
    <w:rsid w:val="001B1EA7"/>
    <w:rsid w:val="001B3596"/>
    <w:rsid w:val="001B5269"/>
    <w:rsid w:val="001C71A6"/>
    <w:rsid w:val="001D564E"/>
    <w:rsid w:val="001E126F"/>
    <w:rsid w:val="001E1EE3"/>
    <w:rsid w:val="001E2A18"/>
    <w:rsid w:val="001E2E08"/>
    <w:rsid w:val="001E4C77"/>
    <w:rsid w:val="001E59DC"/>
    <w:rsid w:val="001F31E2"/>
    <w:rsid w:val="00202CEF"/>
    <w:rsid w:val="00221009"/>
    <w:rsid w:val="00222025"/>
    <w:rsid w:val="00226FDF"/>
    <w:rsid w:val="00231DAB"/>
    <w:rsid w:val="00232AC2"/>
    <w:rsid w:val="00232AEA"/>
    <w:rsid w:val="00232F9D"/>
    <w:rsid w:val="00233787"/>
    <w:rsid w:val="002416D0"/>
    <w:rsid w:val="00241D7B"/>
    <w:rsid w:val="00253887"/>
    <w:rsid w:val="002556D4"/>
    <w:rsid w:val="00267DCC"/>
    <w:rsid w:val="002706E3"/>
    <w:rsid w:val="00270C70"/>
    <w:rsid w:val="00274368"/>
    <w:rsid w:val="002803C2"/>
    <w:rsid w:val="00282B15"/>
    <w:rsid w:val="00285175"/>
    <w:rsid w:val="0028525E"/>
    <w:rsid w:val="002947AB"/>
    <w:rsid w:val="00294E03"/>
    <w:rsid w:val="002A26E2"/>
    <w:rsid w:val="002A2988"/>
    <w:rsid w:val="002A546A"/>
    <w:rsid w:val="002B37F1"/>
    <w:rsid w:val="002B76B3"/>
    <w:rsid w:val="002C0364"/>
    <w:rsid w:val="002C0643"/>
    <w:rsid w:val="002C120B"/>
    <w:rsid w:val="002C1AD9"/>
    <w:rsid w:val="002C532D"/>
    <w:rsid w:val="002D0F78"/>
    <w:rsid w:val="002D24FC"/>
    <w:rsid w:val="002D29B1"/>
    <w:rsid w:val="002D2C3D"/>
    <w:rsid w:val="002D526C"/>
    <w:rsid w:val="002D736B"/>
    <w:rsid w:val="002E132E"/>
    <w:rsid w:val="002E20AC"/>
    <w:rsid w:val="002E3B11"/>
    <w:rsid w:val="002E786E"/>
    <w:rsid w:val="002F3EE1"/>
    <w:rsid w:val="00306B66"/>
    <w:rsid w:val="00307163"/>
    <w:rsid w:val="00314B2B"/>
    <w:rsid w:val="003162F0"/>
    <w:rsid w:val="00317738"/>
    <w:rsid w:val="00322CE7"/>
    <w:rsid w:val="00324BC8"/>
    <w:rsid w:val="00324FB6"/>
    <w:rsid w:val="00325689"/>
    <w:rsid w:val="00335169"/>
    <w:rsid w:val="00337D54"/>
    <w:rsid w:val="00346E8F"/>
    <w:rsid w:val="00354F18"/>
    <w:rsid w:val="0036058B"/>
    <w:rsid w:val="003629EE"/>
    <w:rsid w:val="00364F97"/>
    <w:rsid w:val="00367DBB"/>
    <w:rsid w:val="0037161F"/>
    <w:rsid w:val="0037272F"/>
    <w:rsid w:val="003820FB"/>
    <w:rsid w:val="00383F00"/>
    <w:rsid w:val="003845EF"/>
    <w:rsid w:val="003845FA"/>
    <w:rsid w:val="00390EF6"/>
    <w:rsid w:val="00394786"/>
    <w:rsid w:val="00397DCD"/>
    <w:rsid w:val="003B0796"/>
    <w:rsid w:val="003B1E5D"/>
    <w:rsid w:val="003B481F"/>
    <w:rsid w:val="003B4C33"/>
    <w:rsid w:val="003B4DB1"/>
    <w:rsid w:val="003C54C2"/>
    <w:rsid w:val="003D3C88"/>
    <w:rsid w:val="003D435E"/>
    <w:rsid w:val="003F376A"/>
    <w:rsid w:val="003F3992"/>
    <w:rsid w:val="00403411"/>
    <w:rsid w:val="00405CF1"/>
    <w:rsid w:val="004069F7"/>
    <w:rsid w:val="004074A6"/>
    <w:rsid w:val="00410F25"/>
    <w:rsid w:val="004118CC"/>
    <w:rsid w:val="0041236B"/>
    <w:rsid w:val="00440B11"/>
    <w:rsid w:val="00441B44"/>
    <w:rsid w:val="00452C6C"/>
    <w:rsid w:val="00454D7C"/>
    <w:rsid w:val="00455347"/>
    <w:rsid w:val="004605F8"/>
    <w:rsid w:val="00460F13"/>
    <w:rsid w:val="00462B82"/>
    <w:rsid w:val="00465094"/>
    <w:rsid w:val="00472B5D"/>
    <w:rsid w:val="00473469"/>
    <w:rsid w:val="004738C4"/>
    <w:rsid w:val="00480129"/>
    <w:rsid w:val="0048047D"/>
    <w:rsid w:val="004922C8"/>
    <w:rsid w:val="004925CA"/>
    <w:rsid w:val="00493BDB"/>
    <w:rsid w:val="0049567C"/>
    <w:rsid w:val="00495B99"/>
    <w:rsid w:val="00497BD9"/>
    <w:rsid w:val="004A115C"/>
    <w:rsid w:val="004A1C21"/>
    <w:rsid w:val="004A2781"/>
    <w:rsid w:val="004A2DE5"/>
    <w:rsid w:val="004A3C80"/>
    <w:rsid w:val="004A6FB9"/>
    <w:rsid w:val="004C7E9A"/>
    <w:rsid w:val="004E16DE"/>
    <w:rsid w:val="004E49EE"/>
    <w:rsid w:val="004E670C"/>
    <w:rsid w:val="004E7E29"/>
    <w:rsid w:val="004F05B4"/>
    <w:rsid w:val="004F3043"/>
    <w:rsid w:val="004F4675"/>
    <w:rsid w:val="00503D06"/>
    <w:rsid w:val="00505EC4"/>
    <w:rsid w:val="005078E3"/>
    <w:rsid w:val="00510CEF"/>
    <w:rsid w:val="00511322"/>
    <w:rsid w:val="00511DAE"/>
    <w:rsid w:val="0051440A"/>
    <w:rsid w:val="00514AEE"/>
    <w:rsid w:val="00514CA9"/>
    <w:rsid w:val="00523942"/>
    <w:rsid w:val="00526D41"/>
    <w:rsid w:val="00532420"/>
    <w:rsid w:val="00533205"/>
    <w:rsid w:val="0054131B"/>
    <w:rsid w:val="00547E50"/>
    <w:rsid w:val="00550359"/>
    <w:rsid w:val="0056250B"/>
    <w:rsid w:val="0056709F"/>
    <w:rsid w:val="00575635"/>
    <w:rsid w:val="00580747"/>
    <w:rsid w:val="005832B3"/>
    <w:rsid w:val="0059145B"/>
    <w:rsid w:val="00593588"/>
    <w:rsid w:val="005A0B85"/>
    <w:rsid w:val="005A1440"/>
    <w:rsid w:val="005A5C47"/>
    <w:rsid w:val="005A65EB"/>
    <w:rsid w:val="005A6C1F"/>
    <w:rsid w:val="005D5A3B"/>
    <w:rsid w:val="005E5C77"/>
    <w:rsid w:val="005E5E42"/>
    <w:rsid w:val="005E6715"/>
    <w:rsid w:val="005F12A0"/>
    <w:rsid w:val="005F6092"/>
    <w:rsid w:val="00602CE7"/>
    <w:rsid w:val="00603F2E"/>
    <w:rsid w:val="0062361A"/>
    <w:rsid w:val="0062479D"/>
    <w:rsid w:val="006250CB"/>
    <w:rsid w:val="0062766A"/>
    <w:rsid w:val="00627B67"/>
    <w:rsid w:val="0063066E"/>
    <w:rsid w:val="00631374"/>
    <w:rsid w:val="00631431"/>
    <w:rsid w:val="006374BB"/>
    <w:rsid w:val="0064165B"/>
    <w:rsid w:val="0064210F"/>
    <w:rsid w:val="00643575"/>
    <w:rsid w:val="006473C8"/>
    <w:rsid w:val="00650A0A"/>
    <w:rsid w:val="0065354A"/>
    <w:rsid w:val="006539BB"/>
    <w:rsid w:val="00654855"/>
    <w:rsid w:val="00661026"/>
    <w:rsid w:val="0066382A"/>
    <w:rsid w:val="00670C89"/>
    <w:rsid w:val="00673AAE"/>
    <w:rsid w:val="00677A95"/>
    <w:rsid w:val="00683AAC"/>
    <w:rsid w:val="00687AAE"/>
    <w:rsid w:val="00690157"/>
    <w:rsid w:val="006A08FE"/>
    <w:rsid w:val="006A3DF4"/>
    <w:rsid w:val="006A5944"/>
    <w:rsid w:val="006A5D65"/>
    <w:rsid w:val="006A6336"/>
    <w:rsid w:val="006B21EB"/>
    <w:rsid w:val="006B4DC3"/>
    <w:rsid w:val="006B5A4E"/>
    <w:rsid w:val="006B5C7B"/>
    <w:rsid w:val="006B7F5A"/>
    <w:rsid w:val="006C3DF1"/>
    <w:rsid w:val="006C6388"/>
    <w:rsid w:val="006D617F"/>
    <w:rsid w:val="006E1734"/>
    <w:rsid w:val="006E4C21"/>
    <w:rsid w:val="006E50DB"/>
    <w:rsid w:val="006E75B0"/>
    <w:rsid w:val="006F0603"/>
    <w:rsid w:val="006F17A5"/>
    <w:rsid w:val="006F4BFE"/>
    <w:rsid w:val="006F4D30"/>
    <w:rsid w:val="006F71CD"/>
    <w:rsid w:val="0071342B"/>
    <w:rsid w:val="00713F0F"/>
    <w:rsid w:val="0071504C"/>
    <w:rsid w:val="0072258A"/>
    <w:rsid w:val="0073200E"/>
    <w:rsid w:val="00733736"/>
    <w:rsid w:val="00734833"/>
    <w:rsid w:val="00736A55"/>
    <w:rsid w:val="0073715C"/>
    <w:rsid w:val="007472D0"/>
    <w:rsid w:val="007513CE"/>
    <w:rsid w:val="007571A7"/>
    <w:rsid w:val="00761539"/>
    <w:rsid w:val="00764041"/>
    <w:rsid w:val="007736B6"/>
    <w:rsid w:val="00774E77"/>
    <w:rsid w:val="007770A1"/>
    <w:rsid w:val="00781072"/>
    <w:rsid w:val="00781340"/>
    <w:rsid w:val="007821F8"/>
    <w:rsid w:val="007848FD"/>
    <w:rsid w:val="0079459F"/>
    <w:rsid w:val="007951B5"/>
    <w:rsid w:val="007A22CF"/>
    <w:rsid w:val="007A38E5"/>
    <w:rsid w:val="007B047B"/>
    <w:rsid w:val="007B3499"/>
    <w:rsid w:val="007B61C7"/>
    <w:rsid w:val="007B6963"/>
    <w:rsid w:val="007C2643"/>
    <w:rsid w:val="007C4A5D"/>
    <w:rsid w:val="007C6E26"/>
    <w:rsid w:val="007C7444"/>
    <w:rsid w:val="007D5159"/>
    <w:rsid w:val="007D7657"/>
    <w:rsid w:val="007D7BC3"/>
    <w:rsid w:val="007E1CA7"/>
    <w:rsid w:val="007E52DB"/>
    <w:rsid w:val="007E6280"/>
    <w:rsid w:val="007F2106"/>
    <w:rsid w:val="007F5BC9"/>
    <w:rsid w:val="007F76E5"/>
    <w:rsid w:val="00801728"/>
    <w:rsid w:val="00810A0D"/>
    <w:rsid w:val="00816A5A"/>
    <w:rsid w:val="008249E8"/>
    <w:rsid w:val="00827884"/>
    <w:rsid w:val="00832F92"/>
    <w:rsid w:val="008418AA"/>
    <w:rsid w:val="00844498"/>
    <w:rsid w:val="00845981"/>
    <w:rsid w:val="00845D7F"/>
    <w:rsid w:val="00850643"/>
    <w:rsid w:val="00850E79"/>
    <w:rsid w:val="00851B46"/>
    <w:rsid w:val="00851E07"/>
    <w:rsid w:val="00852F3E"/>
    <w:rsid w:val="00853E4F"/>
    <w:rsid w:val="00854C1D"/>
    <w:rsid w:val="00854FF2"/>
    <w:rsid w:val="008622B5"/>
    <w:rsid w:val="00864382"/>
    <w:rsid w:val="0086667D"/>
    <w:rsid w:val="008668CA"/>
    <w:rsid w:val="0086741C"/>
    <w:rsid w:val="00867BE7"/>
    <w:rsid w:val="00871CD7"/>
    <w:rsid w:val="00871DB0"/>
    <w:rsid w:val="00880DBA"/>
    <w:rsid w:val="00881E37"/>
    <w:rsid w:val="0089692C"/>
    <w:rsid w:val="008A13BE"/>
    <w:rsid w:val="008A2BCE"/>
    <w:rsid w:val="008A4584"/>
    <w:rsid w:val="008A5306"/>
    <w:rsid w:val="008B16D0"/>
    <w:rsid w:val="008B1F4B"/>
    <w:rsid w:val="008B4800"/>
    <w:rsid w:val="008C0A2E"/>
    <w:rsid w:val="008C340A"/>
    <w:rsid w:val="008C53D8"/>
    <w:rsid w:val="008D01C3"/>
    <w:rsid w:val="008D32C2"/>
    <w:rsid w:val="008D37A0"/>
    <w:rsid w:val="008D594E"/>
    <w:rsid w:val="008D6B07"/>
    <w:rsid w:val="008D7179"/>
    <w:rsid w:val="008E1D0B"/>
    <w:rsid w:val="008E29EA"/>
    <w:rsid w:val="008E3250"/>
    <w:rsid w:val="008E3AF1"/>
    <w:rsid w:val="008E7BAB"/>
    <w:rsid w:val="008F15F2"/>
    <w:rsid w:val="008F5206"/>
    <w:rsid w:val="00900646"/>
    <w:rsid w:val="009045A3"/>
    <w:rsid w:val="00906048"/>
    <w:rsid w:val="00913EAF"/>
    <w:rsid w:val="00914FC3"/>
    <w:rsid w:val="00921F50"/>
    <w:rsid w:val="00922442"/>
    <w:rsid w:val="00926AA0"/>
    <w:rsid w:val="00934B89"/>
    <w:rsid w:val="009429DC"/>
    <w:rsid w:val="00943923"/>
    <w:rsid w:val="00943E12"/>
    <w:rsid w:val="00944E7D"/>
    <w:rsid w:val="00955BD8"/>
    <w:rsid w:val="00960512"/>
    <w:rsid w:val="00981463"/>
    <w:rsid w:val="00990835"/>
    <w:rsid w:val="00990A4B"/>
    <w:rsid w:val="00992227"/>
    <w:rsid w:val="00992676"/>
    <w:rsid w:val="00995997"/>
    <w:rsid w:val="00997DC3"/>
    <w:rsid w:val="009A700D"/>
    <w:rsid w:val="009D2309"/>
    <w:rsid w:val="009D4A19"/>
    <w:rsid w:val="009D4BA4"/>
    <w:rsid w:val="009E0269"/>
    <w:rsid w:val="009E2269"/>
    <w:rsid w:val="009F09EA"/>
    <w:rsid w:val="009F5A22"/>
    <w:rsid w:val="00A016E6"/>
    <w:rsid w:val="00A04227"/>
    <w:rsid w:val="00A04F5B"/>
    <w:rsid w:val="00A068D4"/>
    <w:rsid w:val="00A07016"/>
    <w:rsid w:val="00A07DEC"/>
    <w:rsid w:val="00A10AED"/>
    <w:rsid w:val="00A15666"/>
    <w:rsid w:val="00A211F0"/>
    <w:rsid w:val="00A2201D"/>
    <w:rsid w:val="00A245D5"/>
    <w:rsid w:val="00A32649"/>
    <w:rsid w:val="00A45138"/>
    <w:rsid w:val="00A47924"/>
    <w:rsid w:val="00A507F6"/>
    <w:rsid w:val="00A6204A"/>
    <w:rsid w:val="00A63947"/>
    <w:rsid w:val="00A64088"/>
    <w:rsid w:val="00A6541B"/>
    <w:rsid w:val="00A73004"/>
    <w:rsid w:val="00A73C23"/>
    <w:rsid w:val="00A75748"/>
    <w:rsid w:val="00A81214"/>
    <w:rsid w:val="00A8290B"/>
    <w:rsid w:val="00A90B2A"/>
    <w:rsid w:val="00AA1E6F"/>
    <w:rsid w:val="00AA38D6"/>
    <w:rsid w:val="00AA5095"/>
    <w:rsid w:val="00AA5D6B"/>
    <w:rsid w:val="00AC0FB4"/>
    <w:rsid w:val="00AC4815"/>
    <w:rsid w:val="00AC4B45"/>
    <w:rsid w:val="00AC4CED"/>
    <w:rsid w:val="00AC719B"/>
    <w:rsid w:val="00AC7C85"/>
    <w:rsid w:val="00AD2B14"/>
    <w:rsid w:val="00AD41CB"/>
    <w:rsid w:val="00AD4D49"/>
    <w:rsid w:val="00AE1CFB"/>
    <w:rsid w:val="00AF020F"/>
    <w:rsid w:val="00AF0445"/>
    <w:rsid w:val="00AF4BFB"/>
    <w:rsid w:val="00AF696F"/>
    <w:rsid w:val="00B0117A"/>
    <w:rsid w:val="00B03CA3"/>
    <w:rsid w:val="00B07142"/>
    <w:rsid w:val="00B109AF"/>
    <w:rsid w:val="00B20E20"/>
    <w:rsid w:val="00B2608C"/>
    <w:rsid w:val="00B26E46"/>
    <w:rsid w:val="00B315D6"/>
    <w:rsid w:val="00B34C4B"/>
    <w:rsid w:val="00B37765"/>
    <w:rsid w:val="00B41CC0"/>
    <w:rsid w:val="00B445E3"/>
    <w:rsid w:val="00B46F51"/>
    <w:rsid w:val="00B51448"/>
    <w:rsid w:val="00B51B57"/>
    <w:rsid w:val="00B552D9"/>
    <w:rsid w:val="00B56AAB"/>
    <w:rsid w:val="00B7677F"/>
    <w:rsid w:val="00B76A8F"/>
    <w:rsid w:val="00B773CE"/>
    <w:rsid w:val="00B83108"/>
    <w:rsid w:val="00B97351"/>
    <w:rsid w:val="00B97DF6"/>
    <w:rsid w:val="00BA07F4"/>
    <w:rsid w:val="00BA128C"/>
    <w:rsid w:val="00BA2C61"/>
    <w:rsid w:val="00BA32A7"/>
    <w:rsid w:val="00BB123D"/>
    <w:rsid w:val="00BB4C7A"/>
    <w:rsid w:val="00BC28F2"/>
    <w:rsid w:val="00BD0D2D"/>
    <w:rsid w:val="00BD5CF4"/>
    <w:rsid w:val="00BD75BD"/>
    <w:rsid w:val="00BE1EB1"/>
    <w:rsid w:val="00BE3212"/>
    <w:rsid w:val="00BE3F38"/>
    <w:rsid w:val="00BE45C9"/>
    <w:rsid w:val="00BE7AD2"/>
    <w:rsid w:val="00BF2E53"/>
    <w:rsid w:val="00BF55F6"/>
    <w:rsid w:val="00BF5B06"/>
    <w:rsid w:val="00BF7AC8"/>
    <w:rsid w:val="00C03089"/>
    <w:rsid w:val="00C058B9"/>
    <w:rsid w:val="00C06104"/>
    <w:rsid w:val="00C12AEB"/>
    <w:rsid w:val="00C20E4A"/>
    <w:rsid w:val="00C24D19"/>
    <w:rsid w:val="00C26DC9"/>
    <w:rsid w:val="00C31507"/>
    <w:rsid w:val="00C31C36"/>
    <w:rsid w:val="00C321E3"/>
    <w:rsid w:val="00C33D10"/>
    <w:rsid w:val="00C345D8"/>
    <w:rsid w:val="00C4057E"/>
    <w:rsid w:val="00C43814"/>
    <w:rsid w:val="00C52535"/>
    <w:rsid w:val="00C52BF2"/>
    <w:rsid w:val="00C60420"/>
    <w:rsid w:val="00C7633F"/>
    <w:rsid w:val="00C80966"/>
    <w:rsid w:val="00C850DC"/>
    <w:rsid w:val="00C90CAE"/>
    <w:rsid w:val="00C932DC"/>
    <w:rsid w:val="00C956D8"/>
    <w:rsid w:val="00CA3460"/>
    <w:rsid w:val="00CA3C16"/>
    <w:rsid w:val="00CA3F05"/>
    <w:rsid w:val="00CA455B"/>
    <w:rsid w:val="00CA5291"/>
    <w:rsid w:val="00CB230A"/>
    <w:rsid w:val="00CB2D24"/>
    <w:rsid w:val="00CC17F2"/>
    <w:rsid w:val="00CC2358"/>
    <w:rsid w:val="00CC3622"/>
    <w:rsid w:val="00CC4229"/>
    <w:rsid w:val="00CC613B"/>
    <w:rsid w:val="00CC7171"/>
    <w:rsid w:val="00CC7D74"/>
    <w:rsid w:val="00CD4CBB"/>
    <w:rsid w:val="00CD6376"/>
    <w:rsid w:val="00CE4836"/>
    <w:rsid w:val="00CE7338"/>
    <w:rsid w:val="00CF0E2E"/>
    <w:rsid w:val="00CF1FB0"/>
    <w:rsid w:val="00CF32CC"/>
    <w:rsid w:val="00CF7C50"/>
    <w:rsid w:val="00D04FAE"/>
    <w:rsid w:val="00D12E6D"/>
    <w:rsid w:val="00D148B3"/>
    <w:rsid w:val="00D23174"/>
    <w:rsid w:val="00D23A05"/>
    <w:rsid w:val="00D24055"/>
    <w:rsid w:val="00D24922"/>
    <w:rsid w:val="00D24AD3"/>
    <w:rsid w:val="00D24E33"/>
    <w:rsid w:val="00D2666B"/>
    <w:rsid w:val="00D3031C"/>
    <w:rsid w:val="00D308D0"/>
    <w:rsid w:val="00D3296B"/>
    <w:rsid w:val="00D36244"/>
    <w:rsid w:val="00D475FD"/>
    <w:rsid w:val="00D53AB0"/>
    <w:rsid w:val="00D550F5"/>
    <w:rsid w:val="00D60F9D"/>
    <w:rsid w:val="00D61299"/>
    <w:rsid w:val="00D6224F"/>
    <w:rsid w:val="00D63ECC"/>
    <w:rsid w:val="00D64EDB"/>
    <w:rsid w:val="00D66371"/>
    <w:rsid w:val="00D71CD4"/>
    <w:rsid w:val="00D72006"/>
    <w:rsid w:val="00D73AB7"/>
    <w:rsid w:val="00D837AD"/>
    <w:rsid w:val="00D8438E"/>
    <w:rsid w:val="00D86C04"/>
    <w:rsid w:val="00D900C0"/>
    <w:rsid w:val="00D93D8B"/>
    <w:rsid w:val="00DB268C"/>
    <w:rsid w:val="00DB29EF"/>
    <w:rsid w:val="00DB333B"/>
    <w:rsid w:val="00DB75F8"/>
    <w:rsid w:val="00DC2431"/>
    <w:rsid w:val="00DC2490"/>
    <w:rsid w:val="00DC374B"/>
    <w:rsid w:val="00DC4AF5"/>
    <w:rsid w:val="00DD694F"/>
    <w:rsid w:val="00DE2952"/>
    <w:rsid w:val="00DE4A5F"/>
    <w:rsid w:val="00DE4EB7"/>
    <w:rsid w:val="00DE7D57"/>
    <w:rsid w:val="00DF3581"/>
    <w:rsid w:val="00DF5DB4"/>
    <w:rsid w:val="00DF60B5"/>
    <w:rsid w:val="00E007DB"/>
    <w:rsid w:val="00E012FF"/>
    <w:rsid w:val="00E01946"/>
    <w:rsid w:val="00E04EF8"/>
    <w:rsid w:val="00E07CDC"/>
    <w:rsid w:val="00E10113"/>
    <w:rsid w:val="00E107CE"/>
    <w:rsid w:val="00E11BCE"/>
    <w:rsid w:val="00E11D82"/>
    <w:rsid w:val="00E14F76"/>
    <w:rsid w:val="00E15333"/>
    <w:rsid w:val="00E166C6"/>
    <w:rsid w:val="00E1693F"/>
    <w:rsid w:val="00E16DF5"/>
    <w:rsid w:val="00E21A40"/>
    <w:rsid w:val="00E35653"/>
    <w:rsid w:val="00E373BC"/>
    <w:rsid w:val="00E5360E"/>
    <w:rsid w:val="00E5715B"/>
    <w:rsid w:val="00E61DAA"/>
    <w:rsid w:val="00E657A7"/>
    <w:rsid w:val="00E72B57"/>
    <w:rsid w:val="00E7402E"/>
    <w:rsid w:val="00E7505A"/>
    <w:rsid w:val="00E7771A"/>
    <w:rsid w:val="00E94A42"/>
    <w:rsid w:val="00E95A54"/>
    <w:rsid w:val="00EA6089"/>
    <w:rsid w:val="00EA7409"/>
    <w:rsid w:val="00EB0556"/>
    <w:rsid w:val="00EB54FB"/>
    <w:rsid w:val="00EB698D"/>
    <w:rsid w:val="00EC5DDC"/>
    <w:rsid w:val="00EC7B92"/>
    <w:rsid w:val="00ED0A42"/>
    <w:rsid w:val="00ED5314"/>
    <w:rsid w:val="00ED57C3"/>
    <w:rsid w:val="00EE790E"/>
    <w:rsid w:val="00EF1A07"/>
    <w:rsid w:val="00EF2C86"/>
    <w:rsid w:val="00EF41F2"/>
    <w:rsid w:val="00EF76DD"/>
    <w:rsid w:val="00EF8E56"/>
    <w:rsid w:val="00F01246"/>
    <w:rsid w:val="00F10484"/>
    <w:rsid w:val="00F11626"/>
    <w:rsid w:val="00F11FF9"/>
    <w:rsid w:val="00F12956"/>
    <w:rsid w:val="00F246F5"/>
    <w:rsid w:val="00F25658"/>
    <w:rsid w:val="00F31FB5"/>
    <w:rsid w:val="00F351B5"/>
    <w:rsid w:val="00F35A3D"/>
    <w:rsid w:val="00F41696"/>
    <w:rsid w:val="00F50ECC"/>
    <w:rsid w:val="00F51F10"/>
    <w:rsid w:val="00F53C03"/>
    <w:rsid w:val="00F53DAB"/>
    <w:rsid w:val="00F54BB1"/>
    <w:rsid w:val="00F55A93"/>
    <w:rsid w:val="00F64A76"/>
    <w:rsid w:val="00F651E5"/>
    <w:rsid w:val="00F65E9B"/>
    <w:rsid w:val="00F675E8"/>
    <w:rsid w:val="00F70058"/>
    <w:rsid w:val="00F740E4"/>
    <w:rsid w:val="00F7410A"/>
    <w:rsid w:val="00F757FC"/>
    <w:rsid w:val="00F81850"/>
    <w:rsid w:val="00F90459"/>
    <w:rsid w:val="00F90558"/>
    <w:rsid w:val="00F9479A"/>
    <w:rsid w:val="00F96B62"/>
    <w:rsid w:val="00FA0576"/>
    <w:rsid w:val="00FA0B0F"/>
    <w:rsid w:val="00FA18FC"/>
    <w:rsid w:val="00FA3B3E"/>
    <w:rsid w:val="00FA5E22"/>
    <w:rsid w:val="00FA634F"/>
    <w:rsid w:val="00FB1B48"/>
    <w:rsid w:val="00FB30BD"/>
    <w:rsid w:val="00FB3867"/>
    <w:rsid w:val="00FB51BA"/>
    <w:rsid w:val="00FC085A"/>
    <w:rsid w:val="00FC0C31"/>
    <w:rsid w:val="00FC7798"/>
    <w:rsid w:val="00FD02E6"/>
    <w:rsid w:val="00FD2054"/>
    <w:rsid w:val="00FE0C17"/>
    <w:rsid w:val="00FE3501"/>
    <w:rsid w:val="00FE3DAB"/>
    <w:rsid w:val="00FE3DB2"/>
    <w:rsid w:val="00FF7712"/>
    <w:rsid w:val="029D0775"/>
    <w:rsid w:val="09F1D2E9"/>
    <w:rsid w:val="0A2656F5"/>
    <w:rsid w:val="0B70685B"/>
    <w:rsid w:val="0D139366"/>
    <w:rsid w:val="10C22537"/>
    <w:rsid w:val="158DE91C"/>
    <w:rsid w:val="18059220"/>
    <w:rsid w:val="1DA56C92"/>
    <w:rsid w:val="20879F06"/>
    <w:rsid w:val="21AC085B"/>
    <w:rsid w:val="23DAB8FE"/>
    <w:rsid w:val="25AE1E91"/>
    <w:rsid w:val="25BA8DA5"/>
    <w:rsid w:val="2AC1A3FE"/>
    <w:rsid w:val="2BDAB26D"/>
    <w:rsid w:val="2C48ED43"/>
    <w:rsid w:val="2C4D0B85"/>
    <w:rsid w:val="2E028C23"/>
    <w:rsid w:val="30493973"/>
    <w:rsid w:val="314EA91A"/>
    <w:rsid w:val="31E6AA49"/>
    <w:rsid w:val="325F8F7E"/>
    <w:rsid w:val="33DF1F3E"/>
    <w:rsid w:val="377F3EEA"/>
    <w:rsid w:val="39DD6400"/>
    <w:rsid w:val="4044328A"/>
    <w:rsid w:val="432FD227"/>
    <w:rsid w:val="44533104"/>
    <w:rsid w:val="4630E1DC"/>
    <w:rsid w:val="487C826C"/>
    <w:rsid w:val="4C15FD13"/>
    <w:rsid w:val="4CCC6C92"/>
    <w:rsid w:val="4DA3FEC7"/>
    <w:rsid w:val="4E4C2CDB"/>
    <w:rsid w:val="55C49A0E"/>
    <w:rsid w:val="59B6D3DC"/>
    <w:rsid w:val="5FCDFC5D"/>
    <w:rsid w:val="65B59C86"/>
    <w:rsid w:val="6691203A"/>
    <w:rsid w:val="66E6273E"/>
    <w:rsid w:val="680566CE"/>
    <w:rsid w:val="685B8B69"/>
    <w:rsid w:val="693C4B04"/>
    <w:rsid w:val="6C8AFB94"/>
    <w:rsid w:val="6E81A738"/>
    <w:rsid w:val="6F2635BB"/>
    <w:rsid w:val="709CA953"/>
    <w:rsid w:val="717F903B"/>
    <w:rsid w:val="7630DA2E"/>
    <w:rsid w:val="78B25D2F"/>
    <w:rsid w:val="7A8B1F50"/>
    <w:rsid w:val="7BDA1CCB"/>
    <w:rsid w:val="7FB38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4F981"/>
  <w15:docId w15:val="{801DBF0A-70C8-4306-82C1-062E63C6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C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51B57"/>
    <w:pPr>
      <w:spacing w:before="22"/>
      <w:ind w:left="432" w:hanging="432"/>
      <w:outlineLvl w:val="0"/>
    </w:pPr>
    <w:rPr>
      <w:rFonts w:eastAsia="Calibri" w:cs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50DC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1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51B57"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  <w:rsid w:val="00B51B57"/>
  </w:style>
  <w:style w:type="character" w:styleId="Rimandocommento">
    <w:name w:val="annotation reference"/>
    <w:basedOn w:val="Carpredefinitoparagrafo"/>
    <w:uiPriority w:val="99"/>
    <w:semiHidden/>
    <w:unhideWhenUsed/>
    <w:rsid w:val="00B51B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1B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1B57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Carpredefinitoparagrafo"/>
    <w:rsid w:val="00B51B57"/>
  </w:style>
  <w:style w:type="character" w:customStyle="1" w:styleId="Titolo1Carattere">
    <w:name w:val="Titolo 1 Carattere"/>
    <w:basedOn w:val="Carpredefinitoparagrafo"/>
    <w:link w:val="Titolo1"/>
    <w:uiPriority w:val="9"/>
    <w:rsid w:val="00B51B57"/>
    <w:rPr>
      <w:rFonts w:ascii="Times New Roman" w:eastAsia="Calibri" w:hAnsi="Times New Roman" w:cs="Calibri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A5D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A5D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85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3378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3787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29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20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201D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D04FA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E4EB7"/>
    <w:pPr>
      <w:spacing w:after="100"/>
    </w:pPr>
    <w:rPr>
      <w:rFonts w:asciiTheme="minorHAnsi" w:hAnsiTheme="minorHAnsi"/>
    </w:rPr>
  </w:style>
  <w:style w:type="paragraph" w:styleId="Sommario2">
    <w:name w:val="toc 2"/>
    <w:basedOn w:val="Normale"/>
    <w:next w:val="Normale"/>
    <w:autoRedefine/>
    <w:uiPriority w:val="39"/>
    <w:unhideWhenUsed/>
    <w:rsid w:val="00D04FA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04FAE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6A594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C0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A594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3C03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unhideWhenUsed/>
    <w:rsid w:val="000016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paragraph">
    <w:name w:val="paragraph"/>
    <w:basedOn w:val="Normale"/>
    <w:rsid w:val="00FC779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rsid w:val="00FC7798"/>
  </w:style>
  <w:style w:type="character" w:customStyle="1" w:styleId="wacimagecontainer">
    <w:name w:val="wacimagecontainer"/>
    <w:basedOn w:val="Carpredefinitoparagrafo"/>
    <w:rsid w:val="00AA1E6F"/>
  </w:style>
  <w:style w:type="paragraph" w:styleId="Revisione">
    <w:name w:val="Revision"/>
    <w:hidden/>
    <w:uiPriority w:val="99"/>
    <w:semiHidden/>
    <w:rsid w:val="00523942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AC4182-E682-41E5-89A7-9D6736A7D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AC9CE6-90EF-4A8B-819B-F3EA84479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CC6D1-61E1-48A4-A0E1-495DFDA25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92AFE-419E-460D-A854-98CFCDF31B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2035</Words>
  <Characters>11603</Characters>
  <Application>Microsoft Office Word</Application>
  <DocSecurity>0</DocSecurity>
  <Lines>96</Lines>
  <Paragraphs>27</Paragraphs>
  <ScaleCrop>false</ScaleCrop>
  <Company/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Tindara Ando'</cp:lastModifiedBy>
  <cp:revision>10</cp:revision>
  <dcterms:created xsi:type="dcterms:W3CDTF">2025-03-07T09:06:00Z</dcterms:created>
  <dcterms:modified xsi:type="dcterms:W3CDTF">2025-09-09T10:24:00Z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